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AE2" w:rsidRPr="00912DF9" w:rsidRDefault="0070030F" w:rsidP="00B94AE2">
      <w:pPr>
        <w:jc w:val="center"/>
        <w:rPr>
          <w:rFonts w:cs="Arial"/>
          <w:b/>
          <w:sz w:val="28"/>
          <w:szCs w:val="28"/>
        </w:rPr>
      </w:pPr>
      <w:r>
        <w:rPr>
          <w:rFonts w:cs="Arial"/>
          <w:b/>
          <w:sz w:val="28"/>
          <w:szCs w:val="28"/>
        </w:rPr>
        <w:t xml:space="preserve">The </w:t>
      </w:r>
      <w:r w:rsidR="000A64F6" w:rsidRPr="000A64F6">
        <w:rPr>
          <w:rFonts w:cs="Arial"/>
          <w:b/>
          <w:sz w:val="28"/>
          <w:szCs w:val="28"/>
        </w:rPr>
        <w:t>California Accountable Communities for Health Initiative</w:t>
      </w:r>
    </w:p>
    <w:p w:rsidR="0078044C" w:rsidRPr="00EB4176" w:rsidRDefault="0078044C" w:rsidP="0078044C">
      <w:pPr>
        <w:rPr>
          <w:rFonts w:cs="Arial"/>
          <w:i/>
          <w:sz w:val="24"/>
        </w:rPr>
      </w:pPr>
      <w:r w:rsidRPr="00EB4176">
        <w:rPr>
          <w:rFonts w:cs="Arial"/>
          <w:b/>
          <w:sz w:val="24"/>
        </w:rPr>
        <w:t>Background</w:t>
      </w:r>
    </w:p>
    <w:p w:rsidR="00CA7F8E" w:rsidRPr="00CE595C" w:rsidRDefault="00B05C50" w:rsidP="00CA7F8E">
      <w:pPr>
        <w:widowControl w:val="0"/>
        <w:autoSpaceDE w:val="0"/>
        <w:autoSpaceDN w:val="0"/>
        <w:adjustRightInd w:val="0"/>
        <w:rPr>
          <w:rFonts w:ascii="Calibri" w:eastAsia="Times New Roman" w:hAnsi="Calibri" w:cs="Times New Roman"/>
          <w:b/>
          <w:bCs/>
          <w:i/>
          <w:iCs/>
          <w:sz w:val="24"/>
          <w:szCs w:val="24"/>
        </w:rPr>
      </w:pPr>
      <w:r w:rsidRPr="00EB4176">
        <w:rPr>
          <w:rFonts w:cs="Times New Roman"/>
          <w:sz w:val="24"/>
        </w:rPr>
        <w:t xml:space="preserve">In 2013, California received a Center for Medicare and Medicaid Innovation </w:t>
      </w:r>
      <w:r w:rsidR="002E59FD">
        <w:rPr>
          <w:rFonts w:cs="Times New Roman"/>
          <w:sz w:val="24"/>
        </w:rPr>
        <w:t xml:space="preserve">State Innovation Model </w:t>
      </w:r>
      <w:r w:rsidRPr="00EB4176">
        <w:rPr>
          <w:rFonts w:cs="Times New Roman"/>
          <w:sz w:val="24"/>
        </w:rPr>
        <w:t xml:space="preserve">Design Grant and developed a plan, using the </w:t>
      </w:r>
      <w:r w:rsidR="00387DD5" w:rsidRPr="00387DD5">
        <w:rPr>
          <w:rFonts w:cs="Times New Roman"/>
          <w:i/>
          <w:sz w:val="24"/>
        </w:rPr>
        <w:t>Let’s Get Healthy California</w:t>
      </w:r>
      <w:r w:rsidRPr="00EB4176">
        <w:rPr>
          <w:rFonts w:cs="Times New Roman"/>
          <w:sz w:val="24"/>
        </w:rPr>
        <w:t xml:space="preserve"> report as a foundation, for implementing significant health system and payment reforms. This plan, the State Health Care </w:t>
      </w:r>
      <w:r w:rsidRPr="00CE595C">
        <w:rPr>
          <w:rFonts w:cs="Times New Roman"/>
          <w:sz w:val="24"/>
        </w:rPr>
        <w:t xml:space="preserve">Innovation Plan (Innovation Plan, </w:t>
      </w:r>
      <w:hyperlink r:id="rId8" w:history="1">
        <w:r w:rsidRPr="00CE595C">
          <w:rPr>
            <w:rStyle w:val="Hyperlink"/>
            <w:rFonts w:cs="Times New Roman"/>
            <w:sz w:val="24"/>
          </w:rPr>
          <w:t>http://www.chhs.ca.gov/pages/pritab.aspx</w:t>
        </w:r>
      </w:hyperlink>
      <w:r w:rsidRPr="00CE595C">
        <w:rPr>
          <w:rFonts w:cs="Times New Roman"/>
          <w:sz w:val="24"/>
        </w:rPr>
        <w:t>)</w:t>
      </w:r>
      <w:r w:rsidR="002847AC">
        <w:rPr>
          <w:rFonts w:cs="Times New Roman"/>
          <w:sz w:val="24"/>
        </w:rPr>
        <w:t>,</w:t>
      </w:r>
      <w:r w:rsidRPr="00CE595C">
        <w:rPr>
          <w:rFonts w:cs="Times New Roman"/>
          <w:sz w:val="24"/>
        </w:rPr>
        <w:t xml:space="preserve"> was prepared with input from key health and health care leaders in the state</w:t>
      </w:r>
      <w:r w:rsidR="00EB4176" w:rsidRPr="00CE595C">
        <w:rPr>
          <w:rFonts w:cs="Times New Roman"/>
          <w:sz w:val="24"/>
        </w:rPr>
        <w:t xml:space="preserve">.  One of the four </w:t>
      </w:r>
      <w:r w:rsidRPr="00CE595C">
        <w:rPr>
          <w:rFonts w:cs="Times New Roman"/>
          <w:sz w:val="24"/>
        </w:rPr>
        <w:t xml:space="preserve">core initiatives </w:t>
      </w:r>
      <w:r w:rsidR="00EB4176" w:rsidRPr="00CE595C">
        <w:rPr>
          <w:rFonts w:cs="Times New Roman"/>
          <w:sz w:val="24"/>
        </w:rPr>
        <w:t xml:space="preserve">of that </w:t>
      </w:r>
      <w:r w:rsidR="00105A41">
        <w:rPr>
          <w:rFonts w:cs="Times New Roman"/>
          <w:sz w:val="24"/>
        </w:rPr>
        <w:t>P</w:t>
      </w:r>
      <w:r w:rsidR="00EB4176" w:rsidRPr="00CE595C">
        <w:rPr>
          <w:rFonts w:cs="Times New Roman"/>
          <w:sz w:val="24"/>
        </w:rPr>
        <w:t xml:space="preserve">lan </w:t>
      </w:r>
      <w:r w:rsidR="002847AC">
        <w:rPr>
          <w:rFonts w:cs="Times New Roman"/>
          <w:sz w:val="24"/>
        </w:rPr>
        <w:t xml:space="preserve">was </w:t>
      </w:r>
      <w:r w:rsidR="00CE595C" w:rsidRPr="00CE595C">
        <w:rPr>
          <w:rFonts w:cs="Times New Roman"/>
          <w:sz w:val="24"/>
        </w:rPr>
        <w:t xml:space="preserve">the development of </w:t>
      </w:r>
      <w:r w:rsidR="00EB4176" w:rsidRPr="00CE595C">
        <w:rPr>
          <w:rFonts w:cs="Times New Roman"/>
          <w:sz w:val="24"/>
        </w:rPr>
        <w:t xml:space="preserve">a new population health model, called </w:t>
      </w:r>
      <w:r w:rsidR="002847AC">
        <w:rPr>
          <w:rFonts w:cs="Times New Roman"/>
          <w:sz w:val="24"/>
        </w:rPr>
        <w:t xml:space="preserve">the </w:t>
      </w:r>
      <w:r w:rsidRPr="00CE595C">
        <w:rPr>
          <w:rFonts w:cs="Times New Roman"/>
          <w:sz w:val="24"/>
        </w:rPr>
        <w:t xml:space="preserve">Accountable Communities </w:t>
      </w:r>
      <w:proofErr w:type="gramStart"/>
      <w:r w:rsidRPr="00CE595C">
        <w:rPr>
          <w:rFonts w:cs="Times New Roman"/>
          <w:sz w:val="24"/>
        </w:rPr>
        <w:t>For</w:t>
      </w:r>
      <w:proofErr w:type="gramEnd"/>
      <w:r w:rsidRPr="00CE595C">
        <w:rPr>
          <w:rFonts w:cs="Times New Roman"/>
          <w:sz w:val="24"/>
        </w:rPr>
        <w:t xml:space="preserve"> Health</w:t>
      </w:r>
      <w:r w:rsidR="00EB4176" w:rsidRPr="00CE595C">
        <w:rPr>
          <w:rFonts w:cs="Times New Roman"/>
          <w:sz w:val="24"/>
        </w:rPr>
        <w:t xml:space="preserve">.  </w:t>
      </w:r>
      <w:r w:rsidRPr="00CE595C">
        <w:rPr>
          <w:rFonts w:cs="Times New Roman"/>
          <w:sz w:val="24"/>
        </w:rPr>
        <w:t xml:space="preserve"> </w:t>
      </w:r>
      <w:r w:rsidR="00CA7F8E" w:rsidRPr="00CE595C">
        <w:rPr>
          <w:rFonts w:ascii="Calibri" w:eastAsia="Times New Roman" w:hAnsi="Calibri" w:cs="Times New Roman"/>
          <w:b/>
          <w:bCs/>
          <w:i/>
          <w:iCs/>
          <w:sz w:val="24"/>
          <w:szCs w:val="24"/>
        </w:rPr>
        <w:t xml:space="preserve"> </w:t>
      </w:r>
    </w:p>
    <w:p w:rsidR="00856282" w:rsidRPr="00CE595C" w:rsidRDefault="00CA7F8E" w:rsidP="00CE595C">
      <w:pPr>
        <w:spacing w:after="0"/>
        <w:rPr>
          <w:rFonts w:cs="Times New Roman"/>
          <w:sz w:val="24"/>
        </w:rPr>
      </w:pPr>
      <w:r w:rsidRPr="00CE595C">
        <w:rPr>
          <w:rFonts w:ascii="Calibri" w:hAnsi="Calibri"/>
          <w:sz w:val="24"/>
        </w:rPr>
        <w:t>The model links together clinical services</w:t>
      </w:r>
      <w:r w:rsidR="00B744B5">
        <w:rPr>
          <w:rFonts w:ascii="Calibri" w:hAnsi="Calibri"/>
          <w:sz w:val="24"/>
        </w:rPr>
        <w:t>,</w:t>
      </w:r>
      <w:r w:rsidRPr="00CE595C">
        <w:rPr>
          <w:rFonts w:ascii="Calibri" w:hAnsi="Calibri"/>
          <w:sz w:val="24"/>
        </w:rPr>
        <w:t xml:space="preserve"> community </w:t>
      </w:r>
      <w:r w:rsidR="006A0234">
        <w:rPr>
          <w:rFonts w:ascii="Calibri" w:hAnsi="Calibri"/>
          <w:sz w:val="24"/>
        </w:rPr>
        <w:t>programs</w:t>
      </w:r>
      <w:r w:rsidRPr="00CE595C">
        <w:rPr>
          <w:rFonts w:ascii="Calibri" w:hAnsi="Calibri"/>
          <w:sz w:val="24"/>
        </w:rPr>
        <w:t xml:space="preserve"> and social services, with public health and primary prevention approaches in a given geographic area to collectively address a particular health need</w:t>
      </w:r>
      <w:r w:rsidR="00CE595C" w:rsidRPr="00CE595C">
        <w:rPr>
          <w:rFonts w:ascii="Calibri" w:hAnsi="Calibri"/>
          <w:sz w:val="24"/>
        </w:rPr>
        <w:t xml:space="preserve"> on a community-wide basis.</w:t>
      </w:r>
      <w:r w:rsidRPr="00CE595C">
        <w:rPr>
          <w:rFonts w:ascii="Calibri" w:hAnsi="Calibri"/>
          <w:sz w:val="24"/>
        </w:rPr>
        <w:t xml:space="preserve"> </w:t>
      </w:r>
      <w:r w:rsidR="00CE595C" w:rsidRPr="00CE595C">
        <w:rPr>
          <w:rFonts w:ascii="Calibri" w:hAnsi="Calibri"/>
          <w:sz w:val="24"/>
        </w:rPr>
        <w:t>Ultimately, t</w:t>
      </w:r>
      <w:r w:rsidRPr="00CE595C">
        <w:rPr>
          <w:rFonts w:ascii="Calibri" w:hAnsi="Calibri"/>
          <w:sz w:val="24"/>
        </w:rPr>
        <w:t>he long-term vision of an ACH is to be</w:t>
      </w:r>
      <w:r w:rsidR="00CE595C" w:rsidRPr="00CE595C">
        <w:rPr>
          <w:rFonts w:ascii="Calibri" w:hAnsi="Calibri"/>
          <w:sz w:val="24"/>
        </w:rPr>
        <w:t xml:space="preserve">come an enduring infrastructure to support </w:t>
      </w:r>
      <w:r w:rsidR="00CE595C" w:rsidRPr="00CE595C">
        <w:rPr>
          <w:sz w:val="24"/>
        </w:rPr>
        <w:t>broa</w:t>
      </w:r>
      <w:r w:rsidR="000704C4">
        <w:rPr>
          <w:sz w:val="24"/>
        </w:rPr>
        <w:t>d population health improvement</w:t>
      </w:r>
      <w:r w:rsidR="00CE595C" w:rsidRPr="00CE595C">
        <w:rPr>
          <w:sz w:val="24"/>
        </w:rPr>
        <w:t xml:space="preserve"> </w:t>
      </w:r>
      <w:r w:rsidR="002847AC">
        <w:rPr>
          <w:sz w:val="24"/>
        </w:rPr>
        <w:t xml:space="preserve">and </w:t>
      </w:r>
      <w:r w:rsidRPr="00CE595C">
        <w:rPr>
          <w:rFonts w:ascii="Calibri" w:hAnsi="Calibri"/>
          <w:sz w:val="24"/>
        </w:rPr>
        <w:t>system transformation</w:t>
      </w:r>
      <w:r w:rsidR="00CE595C" w:rsidRPr="00CE595C">
        <w:rPr>
          <w:rFonts w:ascii="Calibri" w:hAnsi="Calibri"/>
          <w:sz w:val="24"/>
        </w:rPr>
        <w:t xml:space="preserve"> to create a</w:t>
      </w:r>
      <w:r w:rsidR="00856282" w:rsidRPr="00CE595C">
        <w:rPr>
          <w:rFonts w:cs="Times New Roman"/>
          <w:sz w:val="24"/>
        </w:rPr>
        <w:t xml:space="preserve"> more expansive, connected, prevention-oriented health system.  </w:t>
      </w:r>
    </w:p>
    <w:p w:rsidR="00CE595C" w:rsidRPr="00CE595C" w:rsidRDefault="00CE595C" w:rsidP="00CE595C">
      <w:pPr>
        <w:spacing w:after="0"/>
        <w:rPr>
          <w:sz w:val="24"/>
        </w:rPr>
      </w:pPr>
    </w:p>
    <w:p w:rsidR="00FB6C79" w:rsidRDefault="00EB4176" w:rsidP="00FB6C79">
      <w:pPr>
        <w:spacing w:after="0"/>
        <w:rPr>
          <w:rFonts w:cs="Times New Roman"/>
          <w:color w:val="000000"/>
          <w:sz w:val="24"/>
          <w:shd w:val="clear" w:color="auto" w:fill="FFFFFF"/>
        </w:rPr>
      </w:pPr>
      <w:r>
        <w:rPr>
          <w:rFonts w:cs="Times New Roman"/>
          <w:sz w:val="24"/>
        </w:rPr>
        <w:t xml:space="preserve">In order to </w:t>
      </w:r>
      <w:r w:rsidR="00CA7F8E" w:rsidRPr="00096CDC">
        <w:rPr>
          <w:rFonts w:ascii="Calibri" w:hAnsi="Calibri"/>
          <w:sz w:val="24"/>
        </w:rPr>
        <w:t xml:space="preserve">assess the feasibility, effectiveness, and potential value of </w:t>
      </w:r>
      <w:r w:rsidR="00CA7F8E">
        <w:rPr>
          <w:rFonts w:ascii="Calibri" w:hAnsi="Calibri"/>
          <w:sz w:val="24"/>
        </w:rPr>
        <w:t>this model</w:t>
      </w:r>
      <w:r w:rsidR="00CE595C">
        <w:rPr>
          <w:rFonts w:ascii="Calibri" w:hAnsi="Calibri"/>
          <w:sz w:val="24"/>
        </w:rPr>
        <w:t xml:space="preserve">, </w:t>
      </w:r>
      <w:r>
        <w:rPr>
          <w:rFonts w:cs="Times New Roman"/>
          <w:sz w:val="24"/>
        </w:rPr>
        <w:t>t</w:t>
      </w:r>
      <w:r w:rsidRPr="00EB4176">
        <w:rPr>
          <w:rFonts w:cs="Times New Roman"/>
          <w:sz w:val="24"/>
        </w:rPr>
        <w:t>he California Accountable Communities for Health Initiative (CACHI) was established by The California Endowment, Blue Shield of California Foundation, Kaiser Permanente, and Sierra Health Foundation</w:t>
      </w:r>
      <w:r>
        <w:rPr>
          <w:rFonts w:cs="Times New Roman"/>
          <w:sz w:val="24"/>
        </w:rPr>
        <w:t xml:space="preserve">, in partnership with the California Health and Human Services Agency and the California Department of Public Health.  </w:t>
      </w:r>
    </w:p>
    <w:p w:rsidR="00EB4176" w:rsidRPr="00FB6C79" w:rsidRDefault="00EB4176" w:rsidP="00FB6C79">
      <w:pPr>
        <w:spacing w:after="0"/>
        <w:rPr>
          <w:rFonts w:cs="Times New Roman"/>
          <w:color w:val="000000"/>
          <w:sz w:val="24"/>
          <w:shd w:val="clear" w:color="auto" w:fill="FFFFFF"/>
        </w:rPr>
      </w:pPr>
    </w:p>
    <w:p w:rsidR="00131B27" w:rsidRPr="00EB4176" w:rsidRDefault="002847AC" w:rsidP="0078044C">
      <w:pPr>
        <w:rPr>
          <w:rFonts w:cs="Times New Roman"/>
          <w:b/>
          <w:sz w:val="24"/>
          <w:szCs w:val="20"/>
        </w:rPr>
      </w:pPr>
      <w:r>
        <w:rPr>
          <w:rFonts w:cs="Times New Roman"/>
          <w:b/>
          <w:sz w:val="24"/>
          <w:szCs w:val="20"/>
        </w:rPr>
        <w:t xml:space="preserve">Defining an </w:t>
      </w:r>
      <w:r w:rsidR="005A5F4C" w:rsidRPr="00EB4176">
        <w:rPr>
          <w:rFonts w:cs="Times New Roman"/>
          <w:b/>
          <w:sz w:val="24"/>
          <w:szCs w:val="20"/>
        </w:rPr>
        <w:t xml:space="preserve">Accountable Community </w:t>
      </w:r>
      <w:proofErr w:type="gramStart"/>
      <w:r w:rsidR="005A5F4C" w:rsidRPr="00EB4176">
        <w:rPr>
          <w:rFonts w:cs="Times New Roman"/>
          <w:b/>
          <w:sz w:val="24"/>
          <w:szCs w:val="20"/>
        </w:rPr>
        <w:t>For</w:t>
      </w:r>
      <w:proofErr w:type="gramEnd"/>
      <w:r w:rsidR="005A5F4C" w:rsidRPr="00EB4176">
        <w:rPr>
          <w:rFonts w:cs="Times New Roman"/>
          <w:b/>
          <w:sz w:val="24"/>
          <w:szCs w:val="20"/>
        </w:rPr>
        <w:t xml:space="preserve"> Health</w:t>
      </w:r>
    </w:p>
    <w:p w:rsidR="00CE595C" w:rsidRDefault="000704C4" w:rsidP="00EF512E">
      <w:pPr>
        <w:spacing w:after="0"/>
        <w:rPr>
          <w:rFonts w:cs="Times New Roman"/>
          <w:sz w:val="24"/>
        </w:rPr>
      </w:pPr>
      <w:r>
        <w:rPr>
          <w:rFonts w:cs="Times New Roman"/>
          <w:sz w:val="24"/>
        </w:rPr>
        <w:t xml:space="preserve">Building on the literature and experience of other states and models, </w:t>
      </w:r>
      <w:r w:rsidR="00CE595C">
        <w:rPr>
          <w:rFonts w:cs="Times New Roman"/>
          <w:sz w:val="24"/>
        </w:rPr>
        <w:t xml:space="preserve">CACHI identifies six definitional elements of an ACH: </w:t>
      </w:r>
    </w:p>
    <w:p w:rsidR="00CE595C" w:rsidRPr="00CE595C" w:rsidRDefault="00CE595C" w:rsidP="00CE595C">
      <w:pPr>
        <w:shd w:val="clear" w:color="auto" w:fill="FFFFFF"/>
        <w:spacing w:after="0" w:line="240" w:lineRule="auto"/>
        <w:ind w:left="360"/>
        <w:textAlignment w:val="baseline"/>
        <w:rPr>
          <w:rFonts w:eastAsia="Times New Roman" w:cs="Times New Roman"/>
          <w:color w:val="222222"/>
          <w:sz w:val="24"/>
        </w:rPr>
      </w:pPr>
    </w:p>
    <w:p w:rsidR="00C73139" w:rsidRPr="00EB4176" w:rsidRDefault="00C73139" w:rsidP="00C73139">
      <w:pPr>
        <w:pStyle w:val="ListParagraph"/>
        <w:numPr>
          <w:ilvl w:val="0"/>
          <w:numId w:val="6"/>
        </w:numPr>
        <w:shd w:val="clear" w:color="auto" w:fill="FFFFFF"/>
        <w:spacing w:after="0" w:line="240" w:lineRule="auto"/>
        <w:textAlignment w:val="baseline"/>
        <w:rPr>
          <w:rFonts w:eastAsia="Times New Roman" w:cs="Times New Roman"/>
          <w:color w:val="222222"/>
          <w:sz w:val="24"/>
        </w:rPr>
      </w:pPr>
      <w:r w:rsidRPr="00EB4176">
        <w:rPr>
          <w:rFonts w:eastAsia="Times New Roman" w:cs="Times New Roman"/>
          <w:color w:val="222222"/>
          <w:sz w:val="24"/>
          <w:u w:val="single"/>
          <w:bdr w:val="none" w:sz="0" w:space="0" w:color="auto" w:frame="1"/>
        </w:rPr>
        <w:t>Shared vision and goals:</w:t>
      </w:r>
      <w:r w:rsidRPr="00EB4176">
        <w:rPr>
          <w:rFonts w:eastAsia="Times New Roman" w:cs="Times New Roman"/>
          <w:color w:val="222222"/>
          <w:sz w:val="24"/>
        </w:rPr>
        <w:t xml:space="preserve"> A </w:t>
      </w:r>
      <w:r w:rsidR="0070030F">
        <w:rPr>
          <w:rFonts w:eastAsia="Times New Roman" w:cs="Times New Roman"/>
          <w:color w:val="222222"/>
          <w:sz w:val="24"/>
        </w:rPr>
        <w:t>transformational vision and common set of goals,</w:t>
      </w:r>
      <w:r w:rsidRPr="00EB4176">
        <w:rPr>
          <w:rFonts w:eastAsia="Times New Roman" w:cs="Times New Roman"/>
          <w:color w:val="222222"/>
          <w:sz w:val="24"/>
        </w:rPr>
        <w:t xml:space="preserve"> based on a shared understanding of the </w:t>
      </w:r>
      <w:r w:rsidR="0070030F">
        <w:rPr>
          <w:rFonts w:eastAsia="Times New Roman" w:cs="Times New Roman"/>
          <w:color w:val="222222"/>
          <w:sz w:val="24"/>
        </w:rPr>
        <w:t>health issues facing the community</w:t>
      </w:r>
      <w:r w:rsidRPr="00EB4176">
        <w:rPr>
          <w:rFonts w:eastAsia="Times New Roman" w:cs="Times New Roman"/>
          <w:color w:val="222222"/>
          <w:sz w:val="24"/>
        </w:rPr>
        <w:t>.</w:t>
      </w:r>
    </w:p>
    <w:p w:rsidR="00C73139" w:rsidRPr="00EB4176" w:rsidRDefault="00C73139" w:rsidP="00C73139">
      <w:pPr>
        <w:pStyle w:val="ListParagraph"/>
        <w:numPr>
          <w:ilvl w:val="0"/>
          <w:numId w:val="6"/>
        </w:numPr>
        <w:shd w:val="clear" w:color="auto" w:fill="FFFFFF"/>
        <w:spacing w:after="0" w:line="240" w:lineRule="auto"/>
        <w:textAlignment w:val="baseline"/>
        <w:rPr>
          <w:rFonts w:eastAsia="Times New Roman" w:cs="Times New Roman"/>
          <w:color w:val="222222"/>
          <w:sz w:val="24"/>
        </w:rPr>
      </w:pPr>
      <w:r w:rsidRPr="00EB4176">
        <w:rPr>
          <w:rFonts w:eastAsia="Times New Roman" w:cs="Times New Roman"/>
          <w:color w:val="222222"/>
          <w:sz w:val="24"/>
          <w:u w:val="single"/>
          <w:bdr w:val="none" w:sz="0" w:space="0" w:color="auto" w:frame="1"/>
        </w:rPr>
        <w:t>Partnerships:</w:t>
      </w:r>
      <w:r w:rsidRPr="00EB4176">
        <w:rPr>
          <w:rFonts w:eastAsia="Times New Roman" w:cs="Times New Roman"/>
          <w:color w:val="222222"/>
          <w:sz w:val="24"/>
        </w:rPr>
        <w:t> Meaningful collaboration among the health care, social services, and various community agencies and sectors dedicated to achieving the vision and goals.</w:t>
      </w:r>
    </w:p>
    <w:p w:rsidR="00C73139" w:rsidRPr="00EB4176" w:rsidRDefault="00C73139" w:rsidP="00C73139">
      <w:pPr>
        <w:pStyle w:val="ListParagraph"/>
        <w:numPr>
          <w:ilvl w:val="0"/>
          <w:numId w:val="6"/>
        </w:numPr>
        <w:shd w:val="clear" w:color="auto" w:fill="FFFFFF"/>
        <w:spacing w:after="0" w:line="240" w:lineRule="auto"/>
        <w:textAlignment w:val="baseline"/>
        <w:rPr>
          <w:rFonts w:eastAsia="Times New Roman" w:cs="Times New Roman"/>
          <w:color w:val="222222"/>
          <w:sz w:val="24"/>
        </w:rPr>
      </w:pPr>
      <w:r w:rsidRPr="00EB4176">
        <w:rPr>
          <w:rFonts w:eastAsia="Times New Roman" w:cs="Times New Roman"/>
          <w:color w:val="222222"/>
          <w:sz w:val="24"/>
          <w:u w:val="single"/>
          <w:bdr w:val="none" w:sz="0" w:space="0" w:color="auto" w:frame="1"/>
        </w:rPr>
        <w:t>Leadership:</w:t>
      </w:r>
      <w:r w:rsidRPr="00EB4176">
        <w:rPr>
          <w:rFonts w:eastAsia="Times New Roman" w:cs="Times New Roman"/>
          <w:color w:val="222222"/>
          <w:sz w:val="24"/>
        </w:rPr>
        <w:t> At least one, but ideally several, champions from individuals and organizations among the core entities of an ACH.</w:t>
      </w:r>
    </w:p>
    <w:p w:rsidR="00C73139" w:rsidRPr="00EB4176" w:rsidRDefault="00C73139" w:rsidP="00C73139">
      <w:pPr>
        <w:pStyle w:val="ListParagraph"/>
        <w:numPr>
          <w:ilvl w:val="0"/>
          <w:numId w:val="6"/>
        </w:numPr>
        <w:shd w:val="clear" w:color="auto" w:fill="FFFFFF"/>
        <w:spacing w:after="0" w:line="240" w:lineRule="auto"/>
        <w:textAlignment w:val="baseline"/>
        <w:rPr>
          <w:rFonts w:eastAsia="Times New Roman" w:cs="Times New Roman"/>
          <w:color w:val="222222"/>
          <w:sz w:val="24"/>
        </w:rPr>
      </w:pPr>
      <w:r w:rsidRPr="00EB4176">
        <w:rPr>
          <w:rFonts w:eastAsia="Times New Roman" w:cs="Times New Roman"/>
          <w:color w:val="222222"/>
          <w:sz w:val="24"/>
          <w:u w:val="single"/>
          <w:bdr w:val="none" w:sz="0" w:space="0" w:color="auto" w:frame="1"/>
        </w:rPr>
        <w:t>Backbone:</w:t>
      </w:r>
      <w:r w:rsidRPr="00EB4176">
        <w:rPr>
          <w:rFonts w:eastAsia="Times New Roman" w:cs="Times New Roman"/>
          <w:color w:val="222222"/>
          <w:sz w:val="24"/>
        </w:rPr>
        <w:t> The agreed upon entity that will serve as the collaborative facilitator and convener.</w:t>
      </w:r>
    </w:p>
    <w:p w:rsidR="00C73139" w:rsidRPr="00EB4176" w:rsidRDefault="00C73139" w:rsidP="00C73139">
      <w:pPr>
        <w:pStyle w:val="ListParagraph"/>
        <w:numPr>
          <w:ilvl w:val="0"/>
          <w:numId w:val="6"/>
        </w:numPr>
        <w:shd w:val="clear" w:color="auto" w:fill="FFFFFF"/>
        <w:spacing w:after="0" w:line="240" w:lineRule="auto"/>
        <w:textAlignment w:val="baseline"/>
        <w:rPr>
          <w:rFonts w:eastAsia="Times New Roman" w:cs="Times New Roman"/>
          <w:color w:val="222222"/>
          <w:sz w:val="24"/>
        </w:rPr>
      </w:pPr>
      <w:r w:rsidRPr="00EB4176">
        <w:rPr>
          <w:rFonts w:eastAsia="Times New Roman" w:cs="Times New Roman"/>
          <w:color w:val="222222"/>
          <w:sz w:val="24"/>
          <w:u w:val="single"/>
          <w:bdr w:val="none" w:sz="0" w:space="0" w:color="auto" w:frame="1"/>
        </w:rPr>
        <w:t>Data analytics and capacity:</w:t>
      </w:r>
      <w:r w:rsidRPr="00EB4176">
        <w:rPr>
          <w:rFonts w:eastAsia="Times New Roman" w:cs="Times New Roman"/>
          <w:color w:val="222222"/>
          <w:sz w:val="24"/>
        </w:rPr>
        <w:t> Infrastructure, capacity and agreements for collecting, analyzing and sharing financial, community and population-level data among providers and organizations.</w:t>
      </w:r>
    </w:p>
    <w:p w:rsidR="00C73139" w:rsidRPr="00EB4176" w:rsidRDefault="002C7A46" w:rsidP="00C73139">
      <w:pPr>
        <w:pStyle w:val="ListParagraph"/>
        <w:numPr>
          <w:ilvl w:val="0"/>
          <w:numId w:val="6"/>
        </w:numPr>
        <w:shd w:val="clear" w:color="auto" w:fill="FFFFFF"/>
        <w:spacing w:after="0" w:line="240" w:lineRule="auto"/>
        <w:textAlignment w:val="baseline"/>
        <w:rPr>
          <w:rFonts w:eastAsia="Times New Roman" w:cs="Times New Roman"/>
          <w:color w:val="222222"/>
          <w:sz w:val="24"/>
        </w:rPr>
      </w:pPr>
      <w:r w:rsidRPr="00EB4176">
        <w:rPr>
          <w:rFonts w:eastAsia="Times New Roman" w:cs="Times New Roman"/>
          <w:color w:val="222222"/>
          <w:sz w:val="24"/>
          <w:u w:val="single"/>
          <w:bdr w:val="none" w:sz="0" w:space="0" w:color="auto" w:frame="1"/>
        </w:rPr>
        <w:lastRenderedPageBreak/>
        <w:t>Wellness F</w:t>
      </w:r>
      <w:r w:rsidR="00C73139" w:rsidRPr="00EB4176">
        <w:rPr>
          <w:rFonts w:eastAsia="Times New Roman" w:cs="Times New Roman"/>
          <w:color w:val="222222"/>
          <w:sz w:val="24"/>
          <w:u w:val="single"/>
          <w:bdr w:val="none" w:sz="0" w:space="0" w:color="auto" w:frame="1"/>
        </w:rPr>
        <w:t>und:</w:t>
      </w:r>
      <w:r w:rsidR="00C73139" w:rsidRPr="00EB4176">
        <w:rPr>
          <w:rFonts w:eastAsia="Times New Roman" w:cs="Times New Roman"/>
          <w:color w:val="222222"/>
          <w:sz w:val="24"/>
        </w:rPr>
        <w:t xml:space="preserve"> A vehicle for attracting resources from a variety of </w:t>
      </w:r>
      <w:r w:rsidR="00CE595C">
        <w:rPr>
          <w:rFonts w:eastAsia="Times New Roman" w:cs="Times New Roman"/>
          <w:color w:val="222222"/>
          <w:sz w:val="24"/>
        </w:rPr>
        <w:t xml:space="preserve">sources </w:t>
      </w:r>
      <w:r w:rsidR="00C73139" w:rsidRPr="00EB4176">
        <w:rPr>
          <w:rFonts w:eastAsia="Times New Roman" w:cs="Times New Roman"/>
          <w:color w:val="222222"/>
          <w:sz w:val="24"/>
        </w:rPr>
        <w:t xml:space="preserve">to support the </w:t>
      </w:r>
      <w:r w:rsidR="00CE595C">
        <w:rPr>
          <w:rFonts w:eastAsia="Times New Roman" w:cs="Times New Roman"/>
          <w:color w:val="222222"/>
          <w:sz w:val="24"/>
        </w:rPr>
        <w:t xml:space="preserve">infrastructure, </w:t>
      </w:r>
      <w:r w:rsidR="00C73139" w:rsidRPr="00EB4176">
        <w:rPr>
          <w:rFonts w:eastAsia="Times New Roman" w:cs="Times New Roman"/>
          <w:color w:val="222222"/>
          <w:sz w:val="24"/>
        </w:rPr>
        <w:t>goals, priorities and strategies developed by the ACH</w:t>
      </w:r>
      <w:r w:rsidR="00CE595C">
        <w:rPr>
          <w:rFonts w:eastAsia="Times New Roman" w:cs="Times New Roman"/>
          <w:color w:val="222222"/>
          <w:sz w:val="24"/>
        </w:rPr>
        <w:t>, with particular attention to upstream prevention</w:t>
      </w:r>
      <w:r w:rsidR="00C73139" w:rsidRPr="00EB4176">
        <w:rPr>
          <w:rFonts w:eastAsia="Times New Roman" w:cs="Times New Roman"/>
          <w:color w:val="222222"/>
          <w:sz w:val="24"/>
        </w:rPr>
        <w:t>.</w:t>
      </w:r>
    </w:p>
    <w:p w:rsidR="00CE595C" w:rsidRPr="006A0234" w:rsidRDefault="002C7A46" w:rsidP="00CE595C">
      <w:pPr>
        <w:pStyle w:val="ListParagraph"/>
        <w:numPr>
          <w:ilvl w:val="0"/>
          <w:numId w:val="6"/>
        </w:numPr>
        <w:shd w:val="clear" w:color="auto" w:fill="FFFFFF"/>
        <w:spacing w:after="0" w:line="240" w:lineRule="auto"/>
        <w:textAlignment w:val="baseline"/>
        <w:rPr>
          <w:rFonts w:eastAsia="Times New Roman" w:cs="Times New Roman"/>
          <w:color w:val="222222"/>
          <w:sz w:val="24"/>
        </w:rPr>
      </w:pPr>
      <w:r w:rsidRPr="00EB4176">
        <w:rPr>
          <w:rFonts w:eastAsia="Times New Roman" w:cs="Times New Roman"/>
          <w:color w:val="222222"/>
          <w:sz w:val="24"/>
          <w:u w:val="single"/>
          <w:bdr w:val="none" w:sz="0" w:space="0" w:color="auto" w:frame="1"/>
        </w:rPr>
        <w:t>Portfolio of I</w:t>
      </w:r>
      <w:r w:rsidR="00C73139" w:rsidRPr="00EB4176">
        <w:rPr>
          <w:rFonts w:eastAsia="Times New Roman" w:cs="Times New Roman"/>
          <w:color w:val="222222"/>
          <w:sz w:val="24"/>
          <w:u w:val="single"/>
          <w:bdr w:val="none" w:sz="0" w:space="0" w:color="auto" w:frame="1"/>
        </w:rPr>
        <w:t>nterventions:</w:t>
      </w:r>
      <w:r w:rsidR="00C73139" w:rsidRPr="00EB4176">
        <w:rPr>
          <w:rFonts w:eastAsia="Times New Roman" w:cs="Times New Roman"/>
          <w:color w:val="222222"/>
          <w:sz w:val="24"/>
        </w:rPr>
        <w:t> A set of coherent, mutually-supportive interventions that address a particular health need, chronic condition, set of related conditions, or community condition across five key domains: clinical care, community programs and social services, community-clinical linkages, environment, and policy and systems</w:t>
      </w:r>
      <w:r w:rsidR="006A0234">
        <w:rPr>
          <w:rFonts w:eastAsia="Times New Roman" w:cs="Times New Roman"/>
          <w:color w:val="222222"/>
          <w:sz w:val="24"/>
        </w:rPr>
        <w:t xml:space="preserve"> changes</w:t>
      </w:r>
      <w:r w:rsidR="00CE595C" w:rsidRPr="006A0234">
        <w:rPr>
          <w:rFonts w:cs="Times New Roman"/>
          <w:sz w:val="24"/>
        </w:rPr>
        <w:t>.</w:t>
      </w:r>
    </w:p>
    <w:p w:rsidR="00886F8B" w:rsidRPr="00EB4176" w:rsidRDefault="00886F8B" w:rsidP="00990ED6">
      <w:pPr>
        <w:spacing w:after="0"/>
        <w:rPr>
          <w:rFonts w:cs="Times New Roman"/>
          <w:color w:val="000000"/>
          <w:sz w:val="24"/>
          <w:shd w:val="clear" w:color="auto" w:fill="FFFFFF"/>
        </w:rPr>
      </w:pPr>
    </w:p>
    <w:p w:rsidR="006A0234" w:rsidRDefault="000704C4" w:rsidP="00990ED6">
      <w:pPr>
        <w:spacing w:after="0"/>
        <w:rPr>
          <w:rFonts w:cs="Times New Roman"/>
          <w:sz w:val="24"/>
        </w:rPr>
      </w:pPr>
      <w:r w:rsidRPr="00EB4176">
        <w:rPr>
          <w:rFonts w:cs="Times New Roman"/>
          <w:sz w:val="24"/>
        </w:rPr>
        <w:t xml:space="preserve">Following a highly competitive process with 44 proposals </w:t>
      </w:r>
      <w:r w:rsidR="0070030F">
        <w:rPr>
          <w:rFonts w:cs="Times New Roman"/>
          <w:sz w:val="24"/>
        </w:rPr>
        <w:t xml:space="preserve">submitted </w:t>
      </w:r>
      <w:r w:rsidRPr="00EB4176">
        <w:rPr>
          <w:rFonts w:cs="Times New Roman"/>
          <w:sz w:val="24"/>
        </w:rPr>
        <w:t>from communities across the state</w:t>
      </w:r>
      <w:r>
        <w:rPr>
          <w:rFonts w:cs="Times New Roman"/>
          <w:sz w:val="24"/>
        </w:rPr>
        <w:t xml:space="preserve">, </w:t>
      </w:r>
      <w:r w:rsidR="00886F8B" w:rsidRPr="00EB4176">
        <w:rPr>
          <w:rFonts w:cs="Times New Roman"/>
          <w:sz w:val="24"/>
        </w:rPr>
        <w:t xml:space="preserve">six local </w:t>
      </w:r>
      <w:r>
        <w:rPr>
          <w:rFonts w:cs="Times New Roman"/>
          <w:sz w:val="24"/>
        </w:rPr>
        <w:t>community collaboratives</w:t>
      </w:r>
      <w:r w:rsidR="00886F8B" w:rsidRPr="00EB4176">
        <w:rPr>
          <w:rFonts w:cs="Times New Roman"/>
          <w:sz w:val="24"/>
        </w:rPr>
        <w:t xml:space="preserve"> </w:t>
      </w:r>
      <w:r>
        <w:rPr>
          <w:rFonts w:cs="Times New Roman"/>
          <w:sz w:val="24"/>
        </w:rPr>
        <w:t xml:space="preserve">were selected to receive </w:t>
      </w:r>
      <w:r w:rsidR="00856282">
        <w:rPr>
          <w:rFonts w:cs="Times New Roman"/>
          <w:sz w:val="24"/>
        </w:rPr>
        <w:t>grants</w:t>
      </w:r>
      <w:r>
        <w:rPr>
          <w:rFonts w:cs="Times New Roman"/>
          <w:sz w:val="24"/>
        </w:rPr>
        <w:t>, beginning September 1, 2016,</w:t>
      </w:r>
      <w:r w:rsidR="00856282">
        <w:rPr>
          <w:rFonts w:cs="Times New Roman"/>
          <w:sz w:val="24"/>
        </w:rPr>
        <w:t xml:space="preserve"> of up to $850,000 each over three years. </w:t>
      </w:r>
      <w:r w:rsidR="002847AC">
        <w:rPr>
          <w:rFonts w:cs="Times New Roman"/>
          <w:sz w:val="24"/>
        </w:rPr>
        <w:t>As this is an innovative model, technical assistance and peer learning</w:t>
      </w:r>
      <w:r w:rsidR="0070030F">
        <w:rPr>
          <w:rFonts w:cs="Times New Roman"/>
          <w:sz w:val="24"/>
        </w:rPr>
        <w:t>, along with evaluation,</w:t>
      </w:r>
      <w:r w:rsidR="002847AC">
        <w:rPr>
          <w:rFonts w:cs="Times New Roman"/>
          <w:sz w:val="24"/>
        </w:rPr>
        <w:t xml:space="preserve"> are </w:t>
      </w:r>
      <w:r w:rsidR="0070030F">
        <w:rPr>
          <w:rFonts w:cs="Times New Roman"/>
          <w:sz w:val="24"/>
        </w:rPr>
        <w:t xml:space="preserve">also </w:t>
      </w:r>
      <w:r w:rsidR="002847AC">
        <w:rPr>
          <w:rFonts w:cs="Times New Roman"/>
          <w:sz w:val="24"/>
        </w:rPr>
        <w:t>integral elements</w:t>
      </w:r>
      <w:r w:rsidR="00105A41">
        <w:rPr>
          <w:rFonts w:cs="Times New Roman"/>
          <w:sz w:val="24"/>
        </w:rPr>
        <w:t xml:space="preserve"> </w:t>
      </w:r>
      <w:r>
        <w:rPr>
          <w:rFonts w:cs="Times New Roman"/>
          <w:sz w:val="24"/>
        </w:rPr>
        <w:t>of</w:t>
      </w:r>
      <w:r w:rsidR="002847AC">
        <w:rPr>
          <w:rFonts w:cs="Times New Roman"/>
          <w:sz w:val="24"/>
        </w:rPr>
        <w:t xml:space="preserve"> the Initiative</w:t>
      </w:r>
      <w:r w:rsidR="00886F8B" w:rsidRPr="00EB4176">
        <w:rPr>
          <w:rFonts w:cs="Times New Roman"/>
          <w:sz w:val="24"/>
        </w:rPr>
        <w:t xml:space="preserve">. </w:t>
      </w:r>
      <w:r>
        <w:rPr>
          <w:rFonts w:cs="Times New Roman"/>
          <w:sz w:val="24"/>
        </w:rPr>
        <w:t xml:space="preserve">  </w:t>
      </w:r>
    </w:p>
    <w:p w:rsidR="00C73139" w:rsidRPr="00EB4176" w:rsidRDefault="00C73139" w:rsidP="00990ED6">
      <w:pPr>
        <w:spacing w:after="0"/>
        <w:rPr>
          <w:rFonts w:cs="Times New Roman"/>
          <w:b/>
          <w:color w:val="000000"/>
          <w:sz w:val="24"/>
          <w:shd w:val="clear" w:color="auto" w:fill="FFFFFF"/>
        </w:rPr>
      </w:pPr>
    </w:p>
    <w:p w:rsidR="00886ED3" w:rsidRPr="00EB4176" w:rsidRDefault="000704C4" w:rsidP="00902676">
      <w:pPr>
        <w:spacing w:after="0"/>
        <w:rPr>
          <w:rFonts w:cs="Times New Roman"/>
          <w:sz w:val="24"/>
        </w:rPr>
      </w:pPr>
      <w:r>
        <w:rPr>
          <w:rFonts w:cs="Times New Roman"/>
          <w:sz w:val="24"/>
        </w:rPr>
        <w:t xml:space="preserve">Each of the six grantees will </w:t>
      </w:r>
      <w:r w:rsidR="00091B89" w:rsidRPr="00EB4176">
        <w:rPr>
          <w:rFonts w:cs="Times New Roman"/>
          <w:sz w:val="24"/>
        </w:rPr>
        <w:t xml:space="preserve">address </w:t>
      </w:r>
      <w:r>
        <w:rPr>
          <w:rFonts w:cs="Times New Roman"/>
          <w:sz w:val="24"/>
        </w:rPr>
        <w:t xml:space="preserve">a </w:t>
      </w:r>
      <w:r w:rsidR="002C00A8" w:rsidRPr="00EB4176">
        <w:rPr>
          <w:rFonts w:cs="Times New Roman"/>
          <w:sz w:val="24"/>
        </w:rPr>
        <w:t>pressing community priorit</w:t>
      </w:r>
      <w:r>
        <w:rPr>
          <w:rFonts w:cs="Times New Roman"/>
          <w:sz w:val="24"/>
        </w:rPr>
        <w:t>y</w:t>
      </w:r>
      <w:r w:rsidR="002C00A8" w:rsidRPr="00EB4176">
        <w:rPr>
          <w:rFonts w:cs="Times New Roman"/>
          <w:sz w:val="24"/>
        </w:rPr>
        <w:t>, including a</w:t>
      </w:r>
      <w:r w:rsidR="00091B89" w:rsidRPr="00EB4176">
        <w:rPr>
          <w:rFonts w:cs="Times New Roman"/>
          <w:sz w:val="24"/>
        </w:rPr>
        <w:t>sthma</w:t>
      </w:r>
      <w:r w:rsidR="002C00A8" w:rsidRPr="00EB4176">
        <w:rPr>
          <w:rFonts w:cs="Times New Roman"/>
          <w:sz w:val="24"/>
        </w:rPr>
        <w:t xml:space="preserve">, </w:t>
      </w:r>
      <w:r w:rsidR="00091B89" w:rsidRPr="00EB4176">
        <w:rPr>
          <w:rFonts w:cs="Times New Roman"/>
          <w:sz w:val="24"/>
        </w:rPr>
        <w:t>violence</w:t>
      </w:r>
      <w:r w:rsidR="002E59FD">
        <w:rPr>
          <w:rFonts w:cs="Times New Roman"/>
          <w:sz w:val="24"/>
        </w:rPr>
        <w:t xml:space="preserve"> and trauma</w:t>
      </w:r>
      <w:r w:rsidR="00912DF9">
        <w:rPr>
          <w:rFonts w:cs="Times New Roman"/>
          <w:sz w:val="24"/>
        </w:rPr>
        <w:t>,</w:t>
      </w:r>
      <w:r w:rsidR="00091B89" w:rsidRPr="00EB4176">
        <w:rPr>
          <w:rFonts w:cs="Times New Roman"/>
          <w:sz w:val="24"/>
        </w:rPr>
        <w:t xml:space="preserve"> and cardiovascular disease</w:t>
      </w:r>
      <w:r>
        <w:rPr>
          <w:rFonts w:cs="Times New Roman"/>
          <w:sz w:val="24"/>
        </w:rPr>
        <w:t xml:space="preserve"> and </w:t>
      </w:r>
      <w:r w:rsidR="0015150E" w:rsidRPr="00EB4176">
        <w:rPr>
          <w:rFonts w:cs="Times New Roman"/>
          <w:sz w:val="24"/>
        </w:rPr>
        <w:t xml:space="preserve">will target a </w:t>
      </w:r>
      <w:r w:rsidR="00FC0641" w:rsidRPr="00EB4176">
        <w:rPr>
          <w:rFonts w:cs="Times New Roman"/>
          <w:sz w:val="24"/>
        </w:rPr>
        <w:t>specific</w:t>
      </w:r>
      <w:r w:rsidR="00FC0641" w:rsidRPr="00EB4176" w:rsidDel="00FC0641">
        <w:rPr>
          <w:rFonts w:cs="Times New Roman"/>
          <w:sz w:val="24"/>
        </w:rPr>
        <w:t xml:space="preserve"> </w:t>
      </w:r>
      <w:r w:rsidR="0015150E" w:rsidRPr="00EB4176">
        <w:rPr>
          <w:rFonts w:cs="Times New Roman"/>
          <w:sz w:val="24"/>
        </w:rPr>
        <w:t>geographic community</w:t>
      </w:r>
      <w:r w:rsidR="00912DF9">
        <w:rPr>
          <w:rFonts w:cs="Times New Roman"/>
          <w:sz w:val="24"/>
        </w:rPr>
        <w:t xml:space="preserve"> of 100,00</w:t>
      </w:r>
      <w:r w:rsidR="00420965">
        <w:rPr>
          <w:rFonts w:cs="Times New Roman"/>
          <w:sz w:val="24"/>
        </w:rPr>
        <w:t>0</w:t>
      </w:r>
      <w:r w:rsidR="00912DF9">
        <w:rPr>
          <w:rFonts w:cs="Times New Roman"/>
          <w:sz w:val="24"/>
        </w:rPr>
        <w:t>-200,00</w:t>
      </w:r>
      <w:r w:rsidR="00420965">
        <w:rPr>
          <w:rFonts w:cs="Times New Roman"/>
          <w:sz w:val="24"/>
        </w:rPr>
        <w:t>0</w:t>
      </w:r>
      <w:r w:rsidR="00912DF9">
        <w:rPr>
          <w:rFonts w:cs="Times New Roman"/>
          <w:sz w:val="24"/>
        </w:rPr>
        <w:t xml:space="preserve"> residents</w:t>
      </w:r>
      <w:r w:rsidR="0015150E" w:rsidRPr="00EB4176">
        <w:rPr>
          <w:rFonts w:cs="Times New Roman"/>
          <w:sz w:val="24"/>
        </w:rPr>
        <w:t>.</w:t>
      </w:r>
      <w:r>
        <w:rPr>
          <w:rFonts w:cs="Times New Roman"/>
          <w:sz w:val="24"/>
        </w:rPr>
        <w:t xml:space="preserve">  The six grantees are:</w:t>
      </w:r>
    </w:p>
    <w:p w:rsidR="00886ED3" w:rsidRPr="00EB4176" w:rsidRDefault="00886ED3" w:rsidP="00886ED3">
      <w:pPr>
        <w:pStyle w:val="ListParagraph"/>
        <w:numPr>
          <w:ilvl w:val="0"/>
          <w:numId w:val="2"/>
        </w:numPr>
        <w:spacing w:after="0"/>
        <w:rPr>
          <w:rFonts w:cs="Times New Roman"/>
          <w:sz w:val="24"/>
        </w:rPr>
      </w:pPr>
      <w:r w:rsidRPr="00EB4176">
        <w:rPr>
          <w:rFonts w:cs="Times New Roman"/>
          <w:b/>
          <w:sz w:val="24"/>
        </w:rPr>
        <w:t>Imperial County Public Health Department</w:t>
      </w:r>
      <w:r w:rsidRPr="00EB4176">
        <w:rPr>
          <w:rFonts w:cs="Times New Roman"/>
          <w:sz w:val="24"/>
        </w:rPr>
        <w:t>, Imperial County</w:t>
      </w:r>
      <w:r w:rsidR="00923D66" w:rsidRPr="00EB4176">
        <w:rPr>
          <w:rFonts w:cs="Times New Roman"/>
          <w:sz w:val="24"/>
        </w:rPr>
        <w:t xml:space="preserve"> </w:t>
      </w:r>
      <w:r w:rsidR="00923D66" w:rsidRPr="00EB4176">
        <w:rPr>
          <w:rFonts w:cs="Times New Roman"/>
          <w:i/>
          <w:sz w:val="24"/>
        </w:rPr>
        <w:t>(Asthma)</w:t>
      </w:r>
    </w:p>
    <w:p w:rsidR="00886ED3" w:rsidRPr="00EB4176" w:rsidRDefault="00886ED3" w:rsidP="00886ED3">
      <w:pPr>
        <w:pStyle w:val="ListParagraph"/>
        <w:numPr>
          <w:ilvl w:val="0"/>
          <w:numId w:val="2"/>
        </w:numPr>
        <w:spacing w:after="0"/>
        <w:rPr>
          <w:rFonts w:cs="Times New Roman"/>
          <w:i/>
          <w:sz w:val="24"/>
        </w:rPr>
      </w:pPr>
      <w:r w:rsidRPr="00EB4176">
        <w:rPr>
          <w:rFonts w:cs="Times New Roman"/>
          <w:b/>
          <w:sz w:val="24"/>
        </w:rPr>
        <w:t>Merced County Department of Public Health</w:t>
      </w:r>
      <w:r w:rsidRPr="00EB4176">
        <w:rPr>
          <w:rFonts w:cs="Times New Roman"/>
          <w:sz w:val="24"/>
        </w:rPr>
        <w:t>, Merced County</w:t>
      </w:r>
      <w:r w:rsidR="00923D66" w:rsidRPr="00EB4176">
        <w:rPr>
          <w:rFonts w:cs="Times New Roman"/>
          <w:sz w:val="24"/>
        </w:rPr>
        <w:t xml:space="preserve"> </w:t>
      </w:r>
      <w:r w:rsidR="00923D66" w:rsidRPr="00EB4176">
        <w:rPr>
          <w:rFonts w:cs="Times New Roman"/>
          <w:i/>
          <w:sz w:val="24"/>
        </w:rPr>
        <w:t>(Diabetes &amp; Cardiovascular Disease with Depression)</w:t>
      </w:r>
    </w:p>
    <w:p w:rsidR="00F8731A" w:rsidRPr="00EB4176" w:rsidRDefault="00F8731A" w:rsidP="00F8731A">
      <w:pPr>
        <w:pStyle w:val="ListParagraph"/>
        <w:numPr>
          <w:ilvl w:val="0"/>
          <w:numId w:val="2"/>
        </w:numPr>
        <w:spacing w:after="0"/>
        <w:rPr>
          <w:rFonts w:cs="Times New Roman"/>
          <w:i/>
          <w:sz w:val="24"/>
        </w:rPr>
      </w:pPr>
      <w:r w:rsidRPr="00EB4176">
        <w:rPr>
          <w:rFonts w:cs="Times New Roman"/>
          <w:b/>
          <w:sz w:val="24"/>
        </w:rPr>
        <w:t>Be There San Diego/University of California</w:t>
      </w:r>
      <w:r w:rsidRPr="00EB4176">
        <w:rPr>
          <w:rFonts w:cs="Times New Roman"/>
          <w:sz w:val="24"/>
        </w:rPr>
        <w:t xml:space="preserve">, </w:t>
      </w:r>
      <w:r w:rsidRPr="00EB4176">
        <w:rPr>
          <w:rFonts w:cs="Times New Roman"/>
          <w:b/>
          <w:sz w:val="24"/>
        </w:rPr>
        <w:t>San Diego</w:t>
      </w:r>
      <w:r w:rsidRPr="00EB4176">
        <w:rPr>
          <w:rFonts w:cs="Times New Roman"/>
          <w:sz w:val="24"/>
        </w:rPr>
        <w:t>, San Diego County</w:t>
      </w:r>
      <w:r w:rsidR="00923D66" w:rsidRPr="00EB4176">
        <w:rPr>
          <w:rFonts w:cs="Times New Roman"/>
          <w:sz w:val="24"/>
        </w:rPr>
        <w:t xml:space="preserve"> </w:t>
      </w:r>
      <w:r w:rsidR="00923D66" w:rsidRPr="00EB4176">
        <w:rPr>
          <w:rFonts w:cs="Times New Roman"/>
          <w:i/>
          <w:sz w:val="24"/>
        </w:rPr>
        <w:t>(Cardiovascular Disease)</w:t>
      </w:r>
    </w:p>
    <w:p w:rsidR="007F6158" w:rsidRPr="00EB4176" w:rsidRDefault="007F6158" w:rsidP="007F6158">
      <w:pPr>
        <w:pStyle w:val="ListParagraph"/>
        <w:numPr>
          <w:ilvl w:val="0"/>
          <w:numId w:val="2"/>
        </w:numPr>
        <w:spacing w:after="0"/>
        <w:rPr>
          <w:rFonts w:cs="Times New Roman"/>
          <w:sz w:val="24"/>
        </w:rPr>
      </w:pPr>
      <w:r w:rsidRPr="00EB4176">
        <w:rPr>
          <w:rFonts w:cs="Times New Roman"/>
          <w:b/>
          <w:sz w:val="24"/>
        </w:rPr>
        <w:t>Dignity Health/St. Joseph’s Medical Center</w:t>
      </w:r>
      <w:r w:rsidRPr="00EB4176">
        <w:rPr>
          <w:rFonts w:cs="Times New Roman"/>
          <w:sz w:val="24"/>
        </w:rPr>
        <w:t>, San Joaquin County</w:t>
      </w:r>
      <w:r w:rsidR="00923D66" w:rsidRPr="00EB4176">
        <w:rPr>
          <w:rFonts w:cs="Times New Roman"/>
          <w:sz w:val="24"/>
        </w:rPr>
        <w:t xml:space="preserve"> </w:t>
      </w:r>
      <w:r w:rsidR="00923D66" w:rsidRPr="00EB4176">
        <w:rPr>
          <w:rFonts w:cs="Times New Roman"/>
          <w:i/>
          <w:sz w:val="24"/>
        </w:rPr>
        <w:t>(Trauma/Violence)</w:t>
      </w:r>
      <w:r w:rsidR="00923D66" w:rsidRPr="00EB4176">
        <w:rPr>
          <w:rFonts w:cs="Times New Roman"/>
          <w:sz w:val="24"/>
        </w:rPr>
        <w:t xml:space="preserve"> </w:t>
      </w:r>
    </w:p>
    <w:p w:rsidR="007F6158" w:rsidRPr="00EB4176" w:rsidRDefault="007F6158" w:rsidP="00F8731A">
      <w:pPr>
        <w:pStyle w:val="ListParagraph"/>
        <w:numPr>
          <w:ilvl w:val="0"/>
          <w:numId w:val="2"/>
        </w:numPr>
        <w:spacing w:after="0"/>
        <w:rPr>
          <w:rFonts w:cs="Times New Roman"/>
          <w:sz w:val="24"/>
        </w:rPr>
      </w:pPr>
      <w:r w:rsidRPr="00EB4176">
        <w:rPr>
          <w:rFonts w:cs="Times New Roman"/>
          <w:b/>
          <w:sz w:val="24"/>
        </w:rPr>
        <w:t>Santa Clara County Public Health Department</w:t>
      </w:r>
      <w:r w:rsidRPr="00EB4176">
        <w:rPr>
          <w:rFonts w:cs="Times New Roman"/>
          <w:sz w:val="24"/>
        </w:rPr>
        <w:t>, Santa Clara County</w:t>
      </w:r>
      <w:r w:rsidRPr="00EB4176">
        <w:rPr>
          <w:rFonts w:cs="Times New Roman"/>
          <w:b/>
          <w:sz w:val="24"/>
        </w:rPr>
        <w:t xml:space="preserve"> </w:t>
      </w:r>
      <w:r w:rsidR="00923D66" w:rsidRPr="00EB4176">
        <w:rPr>
          <w:rFonts w:cs="Times New Roman"/>
          <w:i/>
          <w:sz w:val="24"/>
        </w:rPr>
        <w:t>(Trauma/Violence)</w:t>
      </w:r>
    </w:p>
    <w:p w:rsidR="00F8731A" w:rsidRPr="00EB4176" w:rsidRDefault="007F6158" w:rsidP="00F8731A">
      <w:pPr>
        <w:pStyle w:val="ListParagraph"/>
        <w:numPr>
          <w:ilvl w:val="0"/>
          <w:numId w:val="2"/>
        </w:numPr>
        <w:spacing w:after="0"/>
        <w:rPr>
          <w:rFonts w:cs="Times New Roman"/>
          <w:i/>
          <w:sz w:val="24"/>
        </w:rPr>
      </w:pPr>
      <w:r w:rsidRPr="00EB4176">
        <w:rPr>
          <w:rFonts w:cs="Times New Roman"/>
          <w:b/>
          <w:sz w:val="24"/>
        </w:rPr>
        <w:t>S</w:t>
      </w:r>
      <w:r w:rsidR="00F8731A" w:rsidRPr="00EB4176">
        <w:rPr>
          <w:rFonts w:cs="Times New Roman"/>
          <w:b/>
          <w:sz w:val="24"/>
        </w:rPr>
        <w:t>onoma County Department of Health Services</w:t>
      </w:r>
      <w:r w:rsidR="00F8731A" w:rsidRPr="00EB4176">
        <w:rPr>
          <w:rFonts w:cs="Times New Roman"/>
          <w:sz w:val="24"/>
        </w:rPr>
        <w:t>, Sonoma County</w:t>
      </w:r>
      <w:r w:rsidR="00923D66" w:rsidRPr="00EB4176">
        <w:rPr>
          <w:rFonts w:cs="Times New Roman"/>
          <w:sz w:val="24"/>
        </w:rPr>
        <w:t xml:space="preserve"> </w:t>
      </w:r>
      <w:r w:rsidR="00923D66" w:rsidRPr="00EB4176">
        <w:rPr>
          <w:rFonts w:cs="Times New Roman"/>
          <w:i/>
          <w:sz w:val="24"/>
        </w:rPr>
        <w:t>(Cardiovascular Disease)</w:t>
      </w:r>
    </w:p>
    <w:p w:rsidR="00FF6B31" w:rsidRPr="00EB4176" w:rsidRDefault="00FF6B31" w:rsidP="00CB79F2">
      <w:pPr>
        <w:shd w:val="clear" w:color="auto" w:fill="FFFFFF"/>
        <w:spacing w:after="0" w:line="240" w:lineRule="auto"/>
        <w:rPr>
          <w:rFonts w:cs="Times New Roman"/>
          <w:sz w:val="24"/>
        </w:rPr>
      </w:pPr>
    </w:p>
    <w:p w:rsidR="00CB79F2" w:rsidRPr="00EB4176" w:rsidRDefault="00776EC7" w:rsidP="00CB79F2">
      <w:pPr>
        <w:shd w:val="clear" w:color="auto" w:fill="FFFFFF"/>
        <w:spacing w:after="0" w:line="240" w:lineRule="auto"/>
        <w:rPr>
          <w:rFonts w:cs="Times New Roman"/>
          <w:sz w:val="24"/>
        </w:rPr>
      </w:pPr>
      <w:r w:rsidRPr="00EB4176">
        <w:rPr>
          <w:rFonts w:cs="Times New Roman"/>
          <w:sz w:val="24"/>
        </w:rPr>
        <w:t>CACHI</w:t>
      </w:r>
      <w:r w:rsidR="00CB79F2" w:rsidRPr="00EB4176">
        <w:rPr>
          <w:rFonts w:cs="Times New Roman"/>
          <w:sz w:val="24"/>
        </w:rPr>
        <w:t xml:space="preserve"> is being supported by Community Partners, a Los Angeles-based nonprofit that helps foster, launch, and grow creative solutions to community challenges.</w:t>
      </w:r>
    </w:p>
    <w:p w:rsidR="00923D66" w:rsidRPr="00EB4176" w:rsidRDefault="00CB79F2" w:rsidP="00C73139">
      <w:pPr>
        <w:shd w:val="clear" w:color="auto" w:fill="FFFFFF"/>
        <w:spacing w:after="0" w:line="240" w:lineRule="auto"/>
        <w:rPr>
          <w:rFonts w:cs="Times New Roman"/>
          <w:color w:val="222222"/>
          <w:sz w:val="24"/>
        </w:rPr>
      </w:pPr>
      <w:r w:rsidRPr="00EB4176">
        <w:rPr>
          <w:rFonts w:cs="Times New Roman"/>
          <w:color w:val="0070C0"/>
          <w:sz w:val="24"/>
        </w:rPr>
        <w:t> </w:t>
      </w:r>
    </w:p>
    <w:p w:rsidR="006A0234" w:rsidRDefault="00923D66" w:rsidP="00FB6C79">
      <w:pPr>
        <w:spacing w:after="0"/>
        <w:rPr>
          <w:rFonts w:cs="Times New Roman"/>
          <w:sz w:val="24"/>
        </w:rPr>
      </w:pPr>
      <w:r w:rsidRPr="00EB4176">
        <w:rPr>
          <w:rFonts w:cs="Times New Roman"/>
          <w:sz w:val="24"/>
        </w:rPr>
        <w:t xml:space="preserve">For additional information on CACHI, please </w:t>
      </w:r>
      <w:r w:rsidR="00856282">
        <w:rPr>
          <w:rFonts w:cs="Times New Roman"/>
          <w:sz w:val="24"/>
        </w:rPr>
        <w:t xml:space="preserve">contact Barbara Masters, Program </w:t>
      </w:r>
      <w:r w:rsidR="00105A41">
        <w:rPr>
          <w:rFonts w:cs="Times New Roman"/>
          <w:sz w:val="24"/>
        </w:rPr>
        <w:t>Director</w:t>
      </w:r>
      <w:r w:rsidR="00856282">
        <w:rPr>
          <w:rFonts w:cs="Times New Roman"/>
          <w:sz w:val="24"/>
        </w:rPr>
        <w:t xml:space="preserve"> </w:t>
      </w:r>
      <w:r w:rsidR="006A0234">
        <w:rPr>
          <w:rFonts w:cs="Times New Roman"/>
          <w:sz w:val="24"/>
        </w:rPr>
        <w:t xml:space="preserve">at </w:t>
      </w:r>
      <w:hyperlink r:id="rId9" w:history="1">
        <w:r w:rsidR="006A0234" w:rsidRPr="00B84804">
          <w:rPr>
            <w:rStyle w:val="Hyperlink"/>
            <w:rFonts w:cs="Times New Roman"/>
            <w:sz w:val="24"/>
          </w:rPr>
          <w:t>CACHImgr@communitypartners.org</w:t>
        </w:r>
      </w:hyperlink>
      <w:r w:rsidR="006A0234">
        <w:rPr>
          <w:rFonts w:cs="Times New Roman"/>
          <w:sz w:val="24"/>
        </w:rPr>
        <w:t>.</w:t>
      </w:r>
    </w:p>
    <w:p w:rsidR="00B744B5" w:rsidRDefault="006A0234" w:rsidP="00FB6C79">
      <w:pPr>
        <w:spacing w:after="0"/>
        <w:rPr>
          <w:rFonts w:cs="Times New Roman"/>
          <w:sz w:val="24"/>
        </w:rPr>
      </w:pPr>
      <w:r>
        <w:rPr>
          <w:rFonts w:cs="Times New Roman"/>
          <w:sz w:val="24"/>
        </w:rPr>
        <w:t xml:space="preserve"> </w:t>
      </w:r>
      <w:r w:rsidR="00923D66" w:rsidRPr="00EB4176">
        <w:rPr>
          <w:rFonts w:cs="Times New Roman"/>
          <w:sz w:val="24"/>
        </w:rPr>
        <w:t xml:space="preserve"> </w:t>
      </w:r>
    </w:p>
    <w:p w:rsidR="00B744B5" w:rsidRDefault="00B744B5" w:rsidP="00FB6C79">
      <w:pPr>
        <w:spacing w:after="0"/>
        <w:rPr>
          <w:rFonts w:cs="Times New Roman"/>
          <w:sz w:val="24"/>
        </w:rPr>
      </w:pPr>
    </w:p>
    <w:p w:rsidR="00B744B5" w:rsidRDefault="00B744B5" w:rsidP="00FB6C79">
      <w:pPr>
        <w:spacing w:after="0"/>
        <w:rPr>
          <w:rFonts w:cs="Times New Roman"/>
          <w:sz w:val="24"/>
        </w:rPr>
      </w:pPr>
    </w:p>
    <w:p w:rsidR="00B744B5" w:rsidRDefault="00B744B5" w:rsidP="00FB6C79">
      <w:pPr>
        <w:spacing w:after="0"/>
        <w:rPr>
          <w:rFonts w:cs="Times New Roman"/>
          <w:sz w:val="24"/>
        </w:rPr>
      </w:pPr>
    </w:p>
    <w:p w:rsidR="006A0234" w:rsidRDefault="006A0234" w:rsidP="00FB6C79">
      <w:pPr>
        <w:spacing w:after="0"/>
        <w:rPr>
          <w:rFonts w:cs="Times New Roman"/>
          <w:sz w:val="24"/>
        </w:rPr>
      </w:pPr>
    </w:p>
    <w:p w:rsidR="006A0234" w:rsidRDefault="006A0234" w:rsidP="00FB6C79">
      <w:pPr>
        <w:spacing w:after="0"/>
        <w:rPr>
          <w:rFonts w:cs="Times New Roman"/>
          <w:sz w:val="24"/>
        </w:rPr>
      </w:pPr>
    </w:p>
    <w:p w:rsidR="006A0234" w:rsidRDefault="006A0234" w:rsidP="00FB6C79">
      <w:pPr>
        <w:spacing w:after="0"/>
        <w:rPr>
          <w:rFonts w:cs="Times New Roman"/>
          <w:sz w:val="24"/>
        </w:rPr>
      </w:pPr>
    </w:p>
    <w:p w:rsidR="006A0234" w:rsidRDefault="006A0234" w:rsidP="00FB6C79">
      <w:pPr>
        <w:spacing w:after="0"/>
        <w:rPr>
          <w:rFonts w:cs="Times New Roman"/>
          <w:sz w:val="24"/>
        </w:rPr>
      </w:pPr>
    </w:p>
    <w:p w:rsidR="006A0234" w:rsidRDefault="006A0234" w:rsidP="00FB6C79">
      <w:pPr>
        <w:spacing w:after="0"/>
        <w:rPr>
          <w:rFonts w:cs="Times New Roman"/>
          <w:sz w:val="24"/>
        </w:rPr>
      </w:pPr>
    </w:p>
    <w:p w:rsidR="006A0234" w:rsidRDefault="006A0234" w:rsidP="004D5133">
      <w:pPr>
        <w:tabs>
          <w:tab w:val="left" w:pos="3216"/>
        </w:tabs>
        <w:spacing w:after="0"/>
        <w:rPr>
          <w:rFonts w:cs="Times New Roman"/>
          <w:sz w:val="24"/>
        </w:rPr>
      </w:pPr>
    </w:p>
    <w:p w:rsidR="006A0234" w:rsidRPr="00F16F70" w:rsidRDefault="006A0234" w:rsidP="006A0234">
      <w:pPr>
        <w:jc w:val="center"/>
        <w:rPr>
          <w:b/>
          <w:sz w:val="28"/>
          <w:szCs w:val="28"/>
        </w:rPr>
      </w:pPr>
      <w:r w:rsidRPr="00F16F70">
        <w:rPr>
          <w:b/>
          <w:sz w:val="28"/>
          <w:szCs w:val="28"/>
        </w:rPr>
        <w:lastRenderedPageBreak/>
        <w:t>California Accountable Communities for Health Initiative</w:t>
      </w:r>
    </w:p>
    <w:p w:rsidR="006A0234" w:rsidRPr="00F16F70" w:rsidRDefault="006A0234" w:rsidP="006A0234">
      <w:pPr>
        <w:jc w:val="center"/>
        <w:rPr>
          <w:b/>
          <w:sz w:val="28"/>
          <w:szCs w:val="28"/>
        </w:rPr>
      </w:pPr>
      <w:r w:rsidRPr="00F16F70">
        <w:rPr>
          <w:b/>
          <w:sz w:val="28"/>
          <w:szCs w:val="28"/>
        </w:rPr>
        <w:t xml:space="preserve"> Grantee Community Summaries</w:t>
      </w:r>
    </w:p>
    <w:p w:rsidR="006A0234" w:rsidRPr="00FB6EE3" w:rsidRDefault="006A0234" w:rsidP="006A0234">
      <w:pPr>
        <w:rPr>
          <w:b/>
          <w:color w:val="00B0F0"/>
          <w:sz w:val="24"/>
          <w:szCs w:val="28"/>
        </w:rPr>
      </w:pPr>
      <w:r w:rsidRPr="00FB6EE3">
        <w:rPr>
          <w:b/>
          <w:color w:val="00B0F0"/>
          <w:sz w:val="24"/>
          <w:szCs w:val="28"/>
        </w:rPr>
        <w:t xml:space="preserve">Imperial County: </w:t>
      </w:r>
      <w:r w:rsidR="00FB6EE3" w:rsidRPr="00FB6EE3">
        <w:rPr>
          <w:b/>
          <w:color w:val="00B0F0"/>
          <w:sz w:val="24"/>
          <w:szCs w:val="28"/>
        </w:rPr>
        <w:t>North End, notably Westmorland</w:t>
      </w:r>
    </w:p>
    <w:p w:rsidR="006A0234" w:rsidRPr="006A0234" w:rsidRDefault="006A0234" w:rsidP="006A0234">
      <w:pPr>
        <w:rPr>
          <w:rFonts w:eastAsia="MS Mincho" w:cs="Arial"/>
          <w:bCs/>
          <w:sz w:val="24"/>
          <w:lang w:eastAsia="ja-JP"/>
        </w:rPr>
      </w:pPr>
      <w:r w:rsidRPr="006A0234">
        <w:rPr>
          <w:rFonts w:eastAsia="MS Mincho" w:cs="Arial"/>
          <w:bCs/>
          <w:sz w:val="24"/>
          <w:lang w:eastAsia="ja-JP"/>
        </w:rPr>
        <w:t>With the Public Health Department serving as the backbone, Imperial County’s Accountable Community for Health aims to improve </w:t>
      </w:r>
      <w:r w:rsidRPr="006A0234">
        <w:rPr>
          <w:rFonts w:eastAsia="MS Mincho" w:cs="Arial"/>
          <w:b/>
          <w:bCs/>
          <w:sz w:val="24"/>
          <w:lang w:eastAsia="ja-JP"/>
        </w:rPr>
        <w:t>asthma </w:t>
      </w:r>
      <w:r w:rsidRPr="006A0234">
        <w:rPr>
          <w:rFonts w:eastAsia="MS Mincho" w:cs="Arial"/>
          <w:bCs/>
          <w:sz w:val="24"/>
          <w:lang w:eastAsia="ja-JP"/>
        </w:rPr>
        <w:t>outcomes for residents throughout the county, paying particular attention to the disparities of children and the small communities located in the northern part of the county. The Local Health Authority Commission, along with many other health care and community organizations are participating in the ACH, which will build upon the recently launched Asthma Linkages Project.  The Local Health Authority established a Wellness Fund, which is creatively funded by a portion of the monthly member premium of the California Health &amp; Wellness health plan. The community has also mobilized to mitigate air pollution from the shrinking of the Salton Sea – a catastrophic threat to the health of this medically underserved community. </w:t>
      </w:r>
    </w:p>
    <w:p w:rsidR="006A0234" w:rsidRPr="00FB6EE3" w:rsidRDefault="006A0234" w:rsidP="006A0234">
      <w:pPr>
        <w:shd w:val="clear" w:color="auto" w:fill="FFFFFF"/>
        <w:rPr>
          <w:rFonts w:eastAsia="MS PGothic" w:cs="Segoe UI"/>
          <w:b/>
          <w:color w:val="00B0F0"/>
          <w:sz w:val="24"/>
          <w:shd w:val="clear" w:color="auto" w:fill="FFFFFF"/>
        </w:rPr>
      </w:pPr>
      <w:r w:rsidRPr="00FB6EE3">
        <w:rPr>
          <w:b/>
          <w:color w:val="00B0F0"/>
          <w:sz w:val="24"/>
          <w:szCs w:val="28"/>
        </w:rPr>
        <w:t xml:space="preserve">Merced County: South Merced, </w:t>
      </w:r>
      <w:proofErr w:type="spellStart"/>
      <w:r w:rsidR="00F01936" w:rsidRPr="00FB6EE3">
        <w:rPr>
          <w:b/>
          <w:color w:val="00B0F0"/>
          <w:sz w:val="24"/>
          <w:szCs w:val="28"/>
        </w:rPr>
        <w:t>Planada</w:t>
      </w:r>
      <w:proofErr w:type="spellEnd"/>
      <w:r w:rsidR="00F01936" w:rsidRPr="00FB6EE3">
        <w:rPr>
          <w:b/>
          <w:color w:val="00B0F0"/>
          <w:sz w:val="24"/>
          <w:szCs w:val="28"/>
        </w:rPr>
        <w:t>, Livingston, Le Grand,</w:t>
      </w:r>
      <w:r w:rsidRPr="00FB6EE3">
        <w:rPr>
          <w:b/>
          <w:color w:val="00B0F0"/>
          <w:sz w:val="24"/>
          <w:szCs w:val="28"/>
        </w:rPr>
        <w:t xml:space="preserve"> Atwater, Franklin-Beachwood, Gustine and Winton</w:t>
      </w:r>
    </w:p>
    <w:p w:rsidR="006A0234" w:rsidRPr="006A0234" w:rsidRDefault="006A0234" w:rsidP="006A0234">
      <w:pPr>
        <w:shd w:val="clear" w:color="auto" w:fill="FFFFFF"/>
        <w:rPr>
          <w:rFonts w:cs="Segoe UI"/>
          <w:sz w:val="24"/>
          <w:szCs w:val="20"/>
        </w:rPr>
      </w:pPr>
      <w:r w:rsidRPr="006A0234">
        <w:rPr>
          <w:rFonts w:eastAsia="MS PGothic" w:cs="Segoe UI"/>
          <w:sz w:val="24"/>
          <w:shd w:val="clear" w:color="auto" w:fill="FFFFFF"/>
        </w:rPr>
        <w:t>The Merced County Department of Public Health is leading the Merced Accountable Community for Health that aligns six well-established collaborative efforts to realize the added value inherent in coordination across sectors.  Target communities represent three County Supervisory Districts and align with the location of clinic systems and Building Healthy Communities Merced efforts.  The aim is to prevent and improve outcomes for</w:t>
      </w:r>
      <w:r w:rsidRPr="006A0234">
        <w:rPr>
          <w:rFonts w:eastAsia="MS PGothic" w:cs="Segoe UI"/>
          <w:sz w:val="24"/>
        </w:rPr>
        <w:t> </w:t>
      </w:r>
      <w:r w:rsidRPr="006A0234">
        <w:rPr>
          <w:rFonts w:eastAsia="MS PGothic" w:cs="Segoe UI"/>
          <w:b/>
          <w:sz w:val="24"/>
          <w:shd w:val="clear" w:color="auto" w:fill="FFFFFF"/>
        </w:rPr>
        <w:t>cardiovascular disease, diabetes, and associated depression</w:t>
      </w:r>
      <w:r w:rsidRPr="006A0234">
        <w:rPr>
          <w:rFonts w:eastAsia="MS PGothic" w:cs="Segoe UI"/>
          <w:sz w:val="24"/>
          <w:shd w:val="clear" w:color="auto" w:fill="FFFFFF"/>
        </w:rPr>
        <w:t xml:space="preserve">. Particularly relevant collaborations include: The Whole Health Partnership, working to integrate primary care and behavioral health and the Health Information Exchange Roundtable to increase data sharing capability and analytics. Other funding sources will be leveraged such as Partnerships to Improve Community Health and Lifetime of Wellness to bring in the policy, systems and environmental strategies intended to improve and extend clinical supports within the targeted communities. Because more than half of residents have </w:t>
      </w:r>
      <w:proofErr w:type="spellStart"/>
      <w:r w:rsidRPr="006A0234">
        <w:rPr>
          <w:rFonts w:eastAsia="MS PGothic" w:cs="Segoe UI"/>
          <w:sz w:val="24"/>
          <w:shd w:val="clear" w:color="auto" w:fill="FFFFFF"/>
        </w:rPr>
        <w:t>Medi</w:t>
      </w:r>
      <w:proofErr w:type="spellEnd"/>
      <w:r w:rsidRPr="006A0234">
        <w:rPr>
          <w:rFonts w:eastAsia="MS PGothic" w:cs="Segoe UI"/>
          <w:sz w:val="24"/>
          <w:shd w:val="clear" w:color="auto" w:fill="FFFFFF"/>
        </w:rPr>
        <w:t>-Cal coverage and provider capacity is stretched, it is critical to innovate new ways to prevent and improve outcomes for these priority conditions. </w:t>
      </w:r>
    </w:p>
    <w:p w:rsidR="006A0234" w:rsidRPr="00FB6EE3" w:rsidRDefault="006A0234" w:rsidP="006A0234">
      <w:pPr>
        <w:shd w:val="clear" w:color="auto" w:fill="FFFFFF"/>
        <w:rPr>
          <w:rFonts w:cs="Times New Roman"/>
          <w:b/>
          <w:color w:val="00B0F0"/>
          <w:sz w:val="24"/>
          <w:szCs w:val="28"/>
        </w:rPr>
      </w:pPr>
      <w:r w:rsidRPr="00FB6EE3">
        <w:rPr>
          <w:rFonts w:cs="Times New Roman"/>
          <w:b/>
          <w:color w:val="00B0F0"/>
          <w:sz w:val="24"/>
          <w:szCs w:val="28"/>
        </w:rPr>
        <w:t xml:space="preserve">San Diego County: Southeastern San Diego  </w:t>
      </w:r>
    </w:p>
    <w:p w:rsidR="006A0234" w:rsidRPr="006A0234" w:rsidRDefault="006A0234" w:rsidP="006A0234">
      <w:pPr>
        <w:shd w:val="clear" w:color="auto" w:fill="FFFFFF"/>
        <w:rPr>
          <w:rFonts w:cs="Times New Roman"/>
          <w:color w:val="222222"/>
          <w:sz w:val="24"/>
          <w:szCs w:val="17"/>
        </w:rPr>
      </w:pPr>
      <w:r w:rsidRPr="006A0234">
        <w:rPr>
          <w:rFonts w:cs="Times New Roman"/>
          <w:color w:val="222222"/>
          <w:sz w:val="24"/>
        </w:rPr>
        <w:t>Be There San Diego, on behalf of a broad collaboration of stakeholders, will be launching the San Diego Accountable Community for Health. </w:t>
      </w:r>
      <w:r w:rsidR="00105A41" w:rsidRPr="006A0234">
        <w:rPr>
          <w:rFonts w:cs="Times New Roman"/>
          <w:color w:val="222222"/>
          <w:sz w:val="24"/>
        </w:rPr>
        <w:t>The Accountable</w:t>
      </w:r>
      <w:r w:rsidRPr="006A0234">
        <w:rPr>
          <w:rFonts w:cs="Times New Roman"/>
          <w:color w:val="222222"/>
          <w:sz w:val="24"/>
        </w:rPr>
        <w:t xml:space="preserve"> Community for Health will build upon the Live Well San Diego </w:t>
      </w:r>
      <w:r w:rsidR="00F06F87" w:rsidRPr="006A0234">
        <w:rPr>
          <w:rFonts w:cs="Times New Roman"/>
          <w:color w:val="222222"/>
          <w:sz w:val="24"/>
        </w:rPr>
        <w:t>framework, which</w:t>
      </w:r>
      <w:r w:rsidRPr="006A0234">
        <w:rPr>
          <w:rFonts w:cs="Times New Roman"/>
          <w:color w:val="222222"/>
          <w:sz w:val="24"/>
        </w:rPr>
        <w:t xml:space="preserve"> provides leadership on county-wide population health improvement efforts, and will partner with the Multicultural Health Foundation to focus initial efforts in Southeastern San Diego.   Recognizing the challenge posed by a large urban/suburban/rural county, the Accountable Community for Health is adopting a dual approach:  (1) Be There San Diego will serve as the backbone and assume responsibility for </w:t>
      </w:r>
      <w:r w:rsidRPr="006A0234">
        <w:rPr>
          <w:rFonts w:cs="Times New Roman"/>
          <w:color w:val="222222"/>
          <w:sz w:val="24"/>
        </w:rPr>
        <w:lastRenderedPageBreak/>
        <w:t>countywide efforts, including development of a data portfolio and sustainability planning; and (2) Be There San Diego will develop a community-based approach relying on local community leadership to implement customized local interventions starting with </w:t>
      </w:r>
      <w:r w:rsidRPr="006A0234">
        <w:rPr>
          <w:rFonts w:cs="Times New Roman"/>
          <w:b/>
          <w:color w:val="222222"/>
          <w:sz w:val="24"/>
        </w:rPr>
        <w:t>cardiovascular disease </w:t>
      </w:r>
      <w:r w:rsidRPr="006A0234">
        <w:rPr>
          <w:rFonts w:cs="Times New Roman"/>
          <w:color w:val="222222"/>
          <w:sz w:val="24"/>
        </w:rPr>
        <w:t>in Southeastern San Diego. Be There San Diego, formerly the Right Care Initiative,</w:t>
      </w:r>
      <w:r w:rsidR="00F06F87">
        <w:rPr>
          <w:rFonts w:cs="Times New Roman"/>
          <w:color w:val="222222"/>
          <w:sz w:val="24"/>
        </w:rPr>
        <w:t xml:space="preserve"> </w:t>
      </w:r>
      <w:r w:rsidRPr="006A0234">
        <w:rPr>
          <w:rFonts w:cs="Times New Roman"/>
          <w:color w:val="222222"/>
          <w:sz w:val="24"/>
        </w:rPr>
        <w:t>possesses a long history of collaboration to improve cardiovascular disease.</w:t>
      </w:r>
    </w:p>
    <w:p w:rsidR="006A0234" w:rsidRPr="00FB6EE3" w:rsidRDefault="006A0234" w:rsidP="006A0234">
      <w:pPr>
        <w:widowControl w:val="0"/>
        <w:autoSpaceDE w:val="0"/>
        <w:autoSpaceDN w:val="0"/>
        <w:adjustRightInd w:val="0"/>
        <w:rPr>
          <w:b/>
          <w:color w:val="00B0F0"/>
          <w:sz w:val="24"/>
          <w:szCs w:val="28"/>
        </w:rPr>
      </w:pPr>
      <w:r w:rsidRPr="00FB6EE3">
        <w:rPr>
          <w:b/>
          <w:color w:val="00B0F0"/>
          <w:sz w:val="24"/>
          <w:szCs w:val="28"/>
        </w:rPr>
        <w:t xml:space="preserve">San Joaquin County: South Stockton  </w:t>
      </w:r>
    </w:p>
    <w:p w:rsidR="006A0234" w:rsidRPr="006A0234" w:rsidRDefault="006A0234" w:rsidP="006A0234">
      <w:pPr>
        <w:rPr>
          <w:sz w:val="24"/>
          <w:szCs w:val="20"/>
        </w:rPr>
      </w:pPr>
      <w:r w:rsidRPr="006A0234">
        <w:rPr>
          <w:color w:val="000000"/>
          <w:sz w:val="24"/>
          <w:szCs w:val="20"/>
        </w:rPr>
        <w:t>Through the Healthier Community Coalition, leaders and residents have joined together to create the Healing South Stockton Accountable Community for Health.  Dignity Health, St. Joseph’s Medical Center is serving as the fiscal agent and backbone. The primary goal is to identify residents suffering from </w:t>
      </w:r>
      <w:r w:rsidRPr="006A0234">
        <w:rPr>
          <w:b/>
          <w:color w:val="000000"/>
          <w:sz w:val="24"/>
          <w:szCs w:val="20"/>
        </w:rPr>
        <w:t>trauma</w:t>
      </w:r>
      <w:r w:rsidRPr="006A0234">
        <w:rPr>
          <w:color w:val="000000"/>
          <w:sz w:val="24"/>
          <w:szCs w:val="20"/>
        </w:rPr>
        <w:t xml:space="preserve"> and link them with clinical services and community supports. Healing South Stockton partners – including the justice, education, and health sectors - will develop the resources needed to ensure that successful programs are expanded and new </w:t>
      </w:r>
      <w:r w:rsidRPr="006A0234">
        <w:rPr>
          <w:sz w:val="24"/>
          <w:szCs w:val="20"/>
        </w:rPr>
        <w:t>evidence-based projects adopted. A to-be-formed Healing South Stockton Wellness Fund will ensure sustainability. Further supporting this effort, the Reinvent South Stockton prioritizes policy and systems changes to prevent trauma in the first place. Together, these</w:t>
      </w:r>
      <w:r w:rsidRPr="006A0234">
        <w:rPr>
          <w:color w:val="000000"/>
          <w:sz w:val="24"/>
          <w:szCs w:val="20"/>
        </w:rPr>
        <w:t xml:space="preserve"> initiatives will build an environment where children grow up healthy, adults thrive, and everyone lives free from trauma. </w:t>
      </w:r>
    </w:p>
    <w:p w:rsidR="006A0234" w:rsidRPr="00FB6EE3" w:rsidRDefault="006A0234" w:rsidP="006A0234">
      <w:pPr>
        <w:rPr>
          <w:rFonts w:cs="Times New Roman"/>
          <w:b/>
          <w:color w:val="00B0F0"/>
          <w:sz w:val="24"/>
          <w:szCs w:val="28"/>
        </w:rPr>
      </w:pPr>
      <w:r w:rsidRPr="00FB6EE3">
        <w:rPr>
          <w:rFonts w:cs="Times New Roman"/>
          <w:b/>
          <w:color w:val="00B0F0"/>
          <w:sz w:val="24"/>
          <w:szCs w:val="28"/>
        </w:rPr>
        <w:t xml:space="preserve">Santa Clara County: East San Jose </w:t>
      </w:r>
    </w:p>
    <w:p w:rsidR="006A0234" w:rsidRPr="006A0234" w:rsidRDefault="006A0234" w:rsidP="006A0234">
      <w:pPr>
        <w:rPr>
          <w:rFonts w:eastAsia="Calibri"/>
          <w:sz w:val="24"/>
        </w:rPr>
      </w:pPr>
      <w:r w:rsidRPr="006A0234">
        <w:rPr>
          <w:rFonts w:eastAsia="Calibri"/>
          <w:color w:val="000000"/>
          <w:sz w:val="24"/>
        </w:rPr>
        <w:t xml:space="preserve">The Santa Clara Accountable Community for Health </w:t>
      </w:r>
      <w:r w:rsidRPr="006A0234">
        <w:rPr>
          <w:sz w:val="24"/>
          <w:shd w:val="clear" w:color="auto" w:fill="FFFFFF"/>
        </w:rPr>
        <w:t xml:space="preserve">PEACE (Prevention Efforts Advance Community Equity) Partnership </w:t>
      </w:r>
      <w:r w:rsidRPr="006A0234">
        <w:rPr>
          <w:rFonts w:eastAsia="Calibri"/>
          <w:color w:val="000000"/>
          <w:sz w:val="24"/>
        </w:rPr>
        <w:t>will be built on a subcommittee of the Mayor's gang prevention task force, itself a 25</w:t>
      </w:r>
      <w:r w:rsidR="00105A41">
        <w:rPr>
          <w:rFonts w:eastAsia="Calibri"/>
          <w:color w:val="000000"/>
          <w:sz w:val="24"/>
        </w:rPr>
        <w:t>-</w:t>
      </w:r>
      <w:r w:rsidRPr="006A0234">
        <w:rPr>
          <w:rFonts w:eastAsia="Calibri"/>
          <w:color w:val="000000"/>
          <w:sz w:val="24"/>
        </w:rPr>
        <w:t xml:space="preserve">member collaborative. The Santa Clara Public Health Department serves as the backbone organization. The goal is to migrate from an individual person approach to violence prevention to a socio-cultural, community approach that addresses environmental conditions, which result in </w:t>
      </w:r>
      <w:r w:rsidRPr="006A0234">
        <w:rPr>
          <w:rFonts w:eastAsia="Calibri"/>
          <w:b/>
          <w:color w:val="000000"/>
          <w:sz w:val="24"/>
        </w:rPr>
        <w:t>violence and trauma</w:t>
      </w:r>
      <w:r w:rsidRPr="006A0234">
        <w:rPr>
          <w:rFonts w:eastAsia="Calibri"/>
          <w:color w:val="000000"/>
          <w:sz w:val="24"/>
        </w:rPr>
        <w:t>. Key objectives include aligning existing and building new interventions, strengthening the involvement of the health care sector, creating a gun storage screening protocol, and ensuring resident engagement ~ especially youth ~ all along the way.</w:t>
      </w:r>
      <w:r w:rsidRPr="006A0234">
        <w:rPr>
          <w:rFonts w:eastAsia="Calibri"/>
          <w:sz w:val="24"/>
        </w:rPr>
        <w:t xml:space="preserve">  A comprehensive community violence and trauma prevention strategy impacting people, place, and equitable opportunities will enable a healthy, peaceful, and empowered East San Jose. </w:t>
      </w:r>
    </w:p>
    <w:p w:rsidR="006A0234" w:rsidRPr="00FB6EE3" w:rsidRDefault="006A0234" w:rsidP="006A0234">
      <w:pPr>
        <w:rPr>
          <w:b/>
          <w:color w:val="00B0F0"/>
          <w:sz w:val="24"/>
          <w:szCs w:val="28"/>
        </w:rPr>
      </w:pPr>
      <w:bookmarkStart w:id="0" w:name="_GoBack"/>
      <w:r w:rsidRPr="00FB6EE3">
        <w:rPr>
          <w:b/>
          <w:color w:val="00B0F0"/>
          <w:sz w:val="24"/>
          <w:szCs w:val="28"/>
        </w:rPr>
        <w:t xml:space="preserve">Sonoma County: Greater Santa Rosa Area   </w:t>
      </w:r>
    </w:p>
    <w:bookmarkEnd w:id="0"/>
    <w:p w:rsidR="008F4B69" w:rsidRDefault="006A0234">
      <w:pPr>
        <w:rPr>
          <w:rFonts w:cs="Times New Roman"/>
          <w:sz w:val="24"/>
        </w:rPr>
      </w:pPr>
      <w:r w:rsidRPr="006A0234">
        <w:rPr>
          <w:rFonts w:cs="Times New Roman"/>
          <w:sz w:val="24"/>
        </w:rPr>
        <w:t xml:space="preserve">On behalf of Sonoma County Health Action, the Sonoma County Department of Health Services serves as the backbone for its Accountable Community for Health. Using Health Action's existing multi-sector partnerships and current work as a starting point, the Accountable Community for Health will address </w:t>
      </w:r>
      <w:r w:rsidRPr="006A0234">
        <w:rPr>
          <w:rFonts w:cs="Times New Roman"/>
          <w:b/>
          <w:sz w:val="24"/>
        </w:rPr>
        <w:t>cardiovascular disease</w:t>
      </w:r>
      <w:r w:rsidRPr="006A0234">
        <w:rPr>
          <w:rFonts w:cs="Times New Roman"/>
          <w:sz w:val="24"/>
        </w:rPr>
        <w:t xml:space="preserve">, the leading chronic condition and a leading cause of death in Sonoma County. Key areas of focus include strengthening resident engagement in decision-making and leadership, along with solidifying data-sharing, referral systems, and creating an innovative, sustainable financing mechanism.  This first year of work is in service of the long-term goal of using the Accountable Community for Health framework in all of Health Action's work to address social determinants of health and other root causes of health inequities. </w:t>
      </w:r>
    </w:p>
    <w:sectPr w:rsidR="008F4B69" w:rsidSect="00FB6C79">
      <w:headerReference w:type="default" r:id="rId10"/>
      <w:footerReference w:type="default" r:id="rId11"/>
      <w:pgSz w:w="12240" w:h="15840"/>
      <w:pgMar w:top="1296" w:right="1296" w:bottom="1224" w:left="13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B05" w:rsidRDefault="00960B05" w:rsidP="004021E3">
      <w:pPr>
        <w:spacing w:after="0" w:line="240" w:lineRule="auto"/>
      </w:pPr>
      <w:r>
        <w:separator/>
      </w:r>
    </w:p>
  </w:endnote>
  <w:endnote w:type="continuationSeparator" w:id="0">
    <w:p w:rsidR="00960B05" w:rsidRDefault="00960B05" w:rsidP="00402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游明朝">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646180"/>
      <w:docPartObj>
        <w:docPartGallery w:val="Page Numbers (Bottom of Page)"/>
        <w:docPartUnique/>
      </w:docPartObj>
    </w:sdtPr>
    <w:sdtEndPr>
      <w:rPr>
        <w:noProof/>
      </w:rPr>
    </w:sdtEndPr>
    <w:sdtContent>
      <w:p w:rsidR="00B744B5" w:rsidRDefault="00960B05">
        <w:pPr>
          <w:pStyle w:val="Footer"/>
          <w:jc w:val="center"/>
        </w:pPr>
        <w:r>
          <w:fldChar w:fldCharType="begin"/>
        </w:r>
        <w:r>
          <w:instrText xml:space="preserve"> PAGE   \* MERGEFORMAT </w:instrText>
        </w:r>
        <w:r>
          <w:fldChar w:fldCharType="separate"/>
        </w:r>
        <w:r w:rsidR="00FB6EE3">
          <w:rPr>
            <w:noProof/>
          </w:rPr>
          <w:t>3</w:t>
        </w:r>
        <w:r>
          <w:rPr>
            <w:noProof/>
          </w:rPr>
          <w:fldChar w:fldCharType="end"/>
        </w:r>
      </w:p>
    </w:sdtContent>
  </w:sdt>
  <w:p w:rsidR="00B744B5" w:rsidRDefault="00B74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B05" w:rsidRDefault="00960B05" w:rsidP="004021E3">
      <w:pPr>
        <w:spacing w:after="0" w:line="240" w:lineRule="auto"/>
      </w:pPr>
      <w:r>
        <w:separator/>
      </w:r>
    </w:p>
  </w:footnote>
  <w:footnote w:type="continuationSeparator" w:id="0">
    <w:p w:rsidR="00960B05" w:rsidRDefault="00960B05" w:rsidP="00402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C8F" w:rsidRDefault="00F43F5E" w:rsidP="00F43F5E">
    <w:pPr>
      <w:pStyle w:val="Header"/>
      <w:tabs>
        <w:tab w:val="left" w:pos="3638"/>
      </w:tabs>
    </w:pPr>
    <w:r w:rsidRPr="00F43F5E">
      <w:rPr>
        <w:noProof/>
      </w:rPr>
      <w:drawing>
        <wp:anchor distT="0" distB="0" distL="114300" distR="114300" simplePos="0" relativeHeight="251626496" behindDoc="0" locked="0" layoutInCell="1" allowOverlap="1">
          <wp:simplePos x="0" y="0"/>
          <wp:positionH relativeFrom="column">
            <wp:posOffset>0</wp:posOffset>
          </wp:positionH>
          <wp:positionV relativeFrom="paragraph">
            <wp:posOffset>155938</wp:posOffset>
          </wp:positionV>
          <wp:extent cx="1828800" cy="365760"/>
          <wp:effectExtent l="0" t="0" r="0" b="0"/>
          <wp:wrapSquare wrapText="bothSides"/>
          <wp:docPr id="2" name="Picture 2" descr="U:\Accountable Communities for Health Funders Collaborative\Communications\CACHI Logo -10-18-16\CACHI\CMYK\CACHI_s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ccountable Communities for Health Funders Collaborative\Communications\CACHI Logo -10-18-16\CACHI\CMYK\CACHI_short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365760"/>
                  </a:xfrm>
                  <a:prstGeom prst="rect">
                    <a:avLst/>
                  </a:prstGeom>
                  <a:noFill/>
                  <a:ln>
                    <a:noFill/>
                  </a:ln>
                </pic:spPr>
              </pic:pic>
            </a:graphicData>
          </a:graphic>
        </wp:anchor>
      </w:drawing>
    </w:r>
  </w:p>
  <w:p w:rsidR="008D3C8F" w:rsidRDefault="008D3C8F" w:rsidP="008D3C8F">
    <w:pPr>
      <w:pStyle w:val="Header"/>
      <w:tabs>
        <w:tab w:val="left" w:pos="3638"/>
      </w:tabs>
      <w:ind w:left="4282" w:firstLine="2918"/>
      <w:jc w:val="right"/>
    </w:pPr>
    <w:r>
      <w:t>CACHI FACT SHEET</w:t>
    </w:r>
  </w:p>
  <w:p w:rsidR="00B744B5" w:rsidRDefault="00B744B5" w:rsidP="008D3C8F">
    <w:pPr>
      <w:pStyle w:val="Header"/>
      <w:tabs>
        <w:tab w:val="left" w:pos="3638"/>
      </w:tabs>
      <w:ind w:left="4282" w:firstLine="2918"/>
      <w:jc w:val="right"/>
    </w:pPr>
    <w:r>
      <w:t>September 1, 2016</w:t>
    </w:r>
  </w:p>
  <w:p w:rsidR="008D3C8F" w:rsidRDefault="008D3C8F" w:rsidP="008D3C8F">
    <w:pPr>
      <w:pStyle w:val="Header"/>
      <w:tabs>
        <w:tab w:val="left" w:pos="3638"/>
      </w:tabs>
      <w:ind w:left="4282" w:firstLine="29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3E7F"/>
    <w:multiLevelType w:val="hybridMultilevel"/>
    <w:tmpl w:val="8FDE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1113B"/>
    <w:multiLevelType w:val="hybridMultilevel"/>
    <w:tmpl w:val="4A96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96702"/>
    <w:multiLevelType w:val="hybridMultilevel"/>
    <w:tmpl w:val="E138CB80"/>
    <w:lvl w:ilvl="0" w:tplc="71AA18A8">
      <w:start w:val="1"/>
      <w:numFmt w:val="bullet"/>
      <w:pStyle w:val="Style2"/>
      <w:lvlText w:val=""/>
      <w:lvlJc w:val="left"/>
      <w:pPr>
        <w:ind w:left="592" w:hanging="216"/>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C73C62"/>
    <w:multiLevelType w:val="hybridMultilevel"/>
    <w:tmpl w:val="76309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8B5BC4"/>
    <w:multiLevelType w:val="multilevel"/>
    <w:tmpl w:val="75E8DDC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6C571794"/>
    <w:multiLevelType w:val="hybridMultilevel"/>
    <w:tmpl w:val="6FC6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680BA2"/>
    <w:multiLevelType w:val="multilevel"/>
    <w:tmpl w:val="FA96F5AE"/>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2676"/>
    <w:rsid w:val="00002F0B"/>
    <w:rsid w:val="000075BD"/>
    <w:rsid w:val="00024141"/>
    <w:rsid w:val="00036A8F"/>
    <w:rsid w:val="00062FD7"/>
    <w:rsid w:val="000704C4"/>
    <w:rsid w:val="00091B89"/>
    <w:rsid w:val="000A2347"/>
    <w:rsid w:val="000A64F6"/>
    <w:rsid w:val="00105A41"/>
    <w:rsid w:val="0011023A"/>
    <w:rsid w:val="00131872"/>
    <w:rsid w:val="00131B27"/>
    <w:rsid w:val="0015150E"/>
    <w:rsid w:val="00165921"/>
    <w:rsid w:val="0017019E"/>
    <w:rsid w:val="001D556D"/>
    <w:rsid w:val="001E1B4B"/>
    <w:rsid w:val="001F2A47"/>
    <w:rsid w:val="002009BA"/>
    <w:rsid w:val="00207EF3"/>
    <w:rsid w:val="0021406A"/>
    <w:rsid w:val="0023785A"/>
    <w:rsid w:val="0024129A"/>
    <w:rsid w:val="0026770C"/>
    <w:rsid w:val="00282C38"/>
    <w:rsid w:val="002847AC"/>
    <w:rsid w:val="00297FB4"/>
    <w:rsid w:val="002C00A8"/>
    <w:rsid w:val="002C7A46"/>
    <w:rsid w:val="002D0FBD"/>
    <w:rsid w:val="002D452A"/>
    <w:rsid w:val="002E59FD"/>
    <w:rsid w:val="002F4439"/>
    <w:rsid w:val="00320F37"/>
    <w:rsid w:val="00325308"/>
    <w:rsid w:val="00357CC4"/>
    <w:rsid w:val="00372B3E"/>
    <w:rsid w:val="00382337"/>
    <w:rsid w:val="00387DD5"/>
    <w:rsid w:val="003945C6"/>
    <w:rsid w:val="003967C6"/>
    <w:rsid w:val="003A1269"/>
    <w:rsid w:val="003A617D"/>
    <w:rsid w:val="003C02B3"/>
    <w:rsid w:val="003E04C7"/>
    <w:rsid w:val="003E1548"/>
    <w:rsid w:val="004021E3"/>
    <w:rsid w:val="00416EC8"/>
    <w:rsid w:val="00420965"/>
    <w:rsid w:val="0044663D"/>
    <w:rsid w:val="00470FBB"/>
    <w:rsid w:val="00481E35"/>
    <w:rsid w:val="00487EB2"/>
    <w:rsid w:val="004A58E0"/>
    <w:rsid w:val="004C43CF"/>
    <w:rsid w:val="004D5133"/>
    <w:rsid w:val="00551B0C"/>
    <w:rsid w:val="00556B49"/>
    <w:rsid w:val="00573678"/>
    <w:rsid w:val="00575C06"/>
    <w:rsid w:val="00586D2D"/>
    <w:rsid w:val="005A5F4C"/>
    <w:rsid w:val="005C2BA4"/>
    <w:rsid w:val="005F35C8"/>
    <w:rsid w:val="005F7CBB"/>
    <w:rsid w:val="006002C6"/>
    <w:rsid w:val="00642AE8"/>
    <w:rsid w:val="0065283B"/>
    <w:rsid w:val="00693C63"/>
    <w:rsid w:val="006A0234"/>
    <w:rsid w:val="006A7B0A"/>
    <w:rsid w:val="006B59BC"/>
    <w:rsid w:val="006F2E31"/>
    <w:rsid w:val="006F4E67"/>
    <w:rsid w:val="0070030F"/>
    <w:rsid w:val="0070132F"/>
    <w:rsid w:val="00707F58"/>
    <w:rsid w:val="0074303C"/>
    <w:rsid w:val="00776EC7"/>
    <w:rsid w:val="0078044C"/>
    <w:rsid w:val="00785A82"/>
    <w:rsid w:val="007F0936"/>
    <w:rsid w:val="007F6158"/>
    <w:rsid w:val="00821EC8"/>
    <w:rsid w:val="00837DF1"/>
    <w:rsid w:val="00856282"/>
    <w:rsid w:val="00885706"/>
    <w:rsid w:val="00886ED3"/>
    <w:rsid w:val="00886F8B"/>
    <w:rsid w:val="0089502E"/>
    <w:rsid w:val="008B3FCD"/>
    <w:rsid w:val="008C68E9"/>
    <w:rsid w:val="008D1009"/>
    <w:rsid w:val="008D3C8F"/>
    <w:rsid w:val="008E110D"/>
    <w:rsid w:val="008E22FD"/>
    <w:rsid w:val="008E27D0"/>
    <w:rsid w:val="008E5BCB"/>
    <w:rsid w:val="008F0273"/>
    <w:rsid w:val="008F4B69"/>
    <w:rsid w:val="008F57C8"/>
    <w:rsid w:val="00902676"/>
    <w:rsid w:val="009115DA"/>
    <w:rsid w:val="00912DF9"/>
    <w:rsid w:val="00923D66"/>
    <w:rsid w:val="00942E75"/>
    <w:rsid w:val="00943B56"/>
    <w:rsid w:val="00960B05"/>
    <w:rsid w:val="00976041"/>
    <w:rsid w:val="00984115"/>
    <w:rsid w:val="00990ED6"/>
    <w:rsid w:val="009936EB"/>
    <w:rsid w:val="00A0291F"/>
    <w:rsid w:val="00A34CDE"/>
    <w:rsid w:val="00A423B9"/>
    <w:rsid w:val="00A4240F"/>
    <w:rsid w:val="00A61F37"/>
    <w:rsid w:val="00AB00CC"/>
    <w:rsid w:val="00AB4B5C"/>
    <w:rsid w:val="00B05C50"/>
    <w:rsid w:val="00B37F58"/>
    <w:rsid w:val="00B4668B"/>
    <w:rsid w:val="00B72104"/>
    <w:rsid w:val="00B744B5"/>
    <w:rsid w:val="00B842A5"/>
    <w:rsid w:val="00B94AE2"/>
    <w:rsid w:val="00BC3C1F"/>
    <w:rsid w:val="00C02045"/>
    <w:rsid w:val="00C0434D"/>
    <w:rsid w:val="00C13668"/>
    <w:rsid w:val="00C71D18"/>
    <w:rsid w:val="00C73139"/>
    <w:rsid w:val="00C87EBD"/>
    <w:rsid w:val="00CA7F8E"/>
    <w:rsid w:val="00CB79F2"/>
    <w:rsid w:val="00CD1CD4"/>
    <w:rsid w:val="00CE043B"/>
    <w:rsid w:val="00CE595C"/>
    <w:rsid w:val="00D53558"/>
    <w:rsid w:val="00D53736"/>
    <w:rsid w:val="00DD0DCA"/>
    <w:rsid w:val="00DE7A42"/>
    <w:rsid w:val="00E0460D"/>
    <w:rsid w:val="00E1586F"/>
    <w:rsid w:val="00E30444"/>
    <w:rsid w:val="00E37D32"/>
    <w:rsid w:val="00E76E86"/>
    <w:rsid w:val="00E95382"/>
    <w:rsid w:val="00EB4176"/>
    <w:rsid w:val="00EC1AE5"/>
    <w:rsid w:val="00ED070F"/>
    <w:rsid w:val="00EF2EA3"/>
    <w:rsid w:val="00EF512E"/>
    <w:rsid w:val="00F01936"/>
    <w:rsid w:val="00F06F87"/>
    <w:rsid w:val="00F1395E"/>
    <w:rsid w:val="00F16F70"/>
    <w:rsid w:val="00F270D9"/>
    <w:rsid w:val="00F40129"/>
    <w:rsid w:val="00F43F5E"/>
    <w:rsid w:val="00F5373F"/>
    <w:rsid w:val="00F658FF"/>
    <w:rsid w:val="00F84342"/>
    <w:rsid w:val="00F8731A"/>
    <w:rsid w:val="00FB0E82"/>
    <w:rsid w:val="00FB6C79"/>
    <w:rsid w:val="00FB6EE3"/>
    <w:rsid w:val="00FC0641"/>
    <w:rsid w:val="00FE3208"/>
    <w:rsid w:val="00FF6B3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CC9F73-DF54-40A3-8840-8707DF0C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A47"/>
  </w:style>
  <w:style w:type="paragraph" w:styleId="Heading3">
    <w:name w:val="heading 3"/>
    <w:basedOn w:val="Normal"/>
    <w:next w:val="Normal"/>
    <w:link w:val="Heading3Char"/>
    <w:uiPriority w:val="9"/>
    <w:unhideWhenUsed/>
    <w:qFormat/>
    <w:rsid w:val="009026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F512E"/>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537A0E"/>
    <w:rPr>
      <w:rFonts w:ascii="Lucida Grande" w:hAnsi="Lucida Grande"/>
      <w:sz w:val="18"/>
      <w:szCs w:val="18"/>
    </w:rPr>
  </w:style>
  <w:style w:type="character" w:customStyle="1" w:styleId="BalloonTextChar0">
    <w:name w:val="Balloon Text Char"/>
    <w:basedOn w:val="DefaultParagraphFont"/>
    <w:uiPriority w:val="99"/>
    <w:semiHidden/>
    <w:rsid w:val="00537A0E"/>
    <w:rPr>
      <w:rFonts w:ascii="Lucida Grande" w:hAnsi="Lucida Grande"/>
      <w:sz w:val="18"/>
      <w:szCs w:val="18"/>
    </w:rPr>
  </w:style>
  <w:style w:type="character" w:customStyle="1" w:styleId="BalloonTextChar2">
    <w:name w:val="Balloon Text Char"/>
    <w:basedOn w:val="DefaultParagraphFont"/>
    <w:uiPriority w:val="99"/>
    <w:semiHidden/>
    <w:rsid w:val="00537A0E"/>
    <w:rPr>
      <w:rFonts w:ascii="Lucida Grande" w:hAnsi="Lucida Grande"/>
      <w:sz w:val="18"/>
      <w:szCs w:val="18"/>
    </w:rPr>
  </w:style>
  <w:style w:type="character" w:customStyle="1" w:styleId="BalloonTextChar3">
    <w:name w:val="Balloon Text Char"/>
    <w:basedOn w:val="DefaultParagraphFont"/>
    <w:uiPriority w:val="99"/>
    <w:semiHidden/>
    <w:rsid w:val="00537A0E"/>
    <w:rPr>
      <w:rFonts w:ascii="Lucida Grande" w:hAnsi="Lucida Grande"/>
      <w:sz w:val="18"/>
      <w:szCs w:val="18"/>
    </w:rPr>
  </w:style>
  <w:style w:type="paragraph" w:styleId="ListParagraph">
    <w:name w:val="List Paragraph"/>
    <w:basedOn w:val="Normal"/>
    <w:uiPriority w:val="34"/>
    <w:qFormat/>
    <w:rsid w:val="00902676"/>
    <w:pPr>
      <w:ind w:left="720"/>
      <w:contextualSpacing/>
    </w:pPr>
  </w:style>
  <w:style w:type="paragraph" w:customStyle="1" w:styleId="Style2">
    <w:name w:val="Style2"/>
    <w:basedOn w:val="Heading3"/>
    <w:next w:val="Normal"/>
    <w:rsid w:val="00902676"/>
    <w:pPr>
      <w:keepNext w:val="0"/>
      <w:keepLines w:val="0"/>
      <w:numPr>
        <w:numId w:val="1"/>
      </w:numPr>
      <w:pBdr>
        <w:top w:val="single" w:sz="6" w:space="3" w:color="2C9AA0"/>
      </w:pBdr>
      <w:tabs>
        <w:tab w:val="num" w:pos="360"/>
      </w:tabs>
      <w:spacing w:before="300" w:line="276" w:lineRule="auto"/>
      <w:ind w:left="0" w:firstLine="0"/>
    </w:pPr>
    <w:rPr>
      <w:rFonts w:eastAsiaTheme="minorEastAsia" w:cstheme="minorBidi"/>
      <w:b/>
      <w:caps/>
      <w:color w:val="4472C4" w:themeColor="accent5"/>
      <w:spacing w:val="15"/>
      <w:sz w:val="22"/>
      <w:szCs w:val="22"/>
    </w:rPr>
  </w:style>
  <w:style w:type="character" w:customStyle="1" w:styleId="Heading3Char">
    <w:name w:val="Heading 3 Char"/>
    <w:basedOn w:val="DefaultParagraphFont"/>
    <w:link w:val="Heading3"/>
    <w:uiPriority w:val="9"/>
    <w:rsid w:val="00902676"/>
    <w:rPr>
      <w:rFonts w:asciiTheme="majorHAnsi" w:eastAsiaTheme="majorEastAsia" w:hAnsiTheme="majorHAnsi" w:cstheme="majorBidi"/>
      <w:color w:val="1F4D78" w:themeColor="accent1" w:themeShade="7F"/>
      <w:sz w:val="24"/>
      <w:szCs w:val="24"/>
    </w:rPr>
  </w:style>
  <w:style w:type="paragraph" w:styleId="NoSpacing">
    <w:name w:val="No Spacing"/>
    <w:basedOn w:val="Normal"/>
    <w:uiPriority w:val="1"/>
    <w:qFormat/>
    <w:rsid w:val="00EF2E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loonTextChar1">
    <w:name w:val="Balloon Text Char1"/>
    <w:basedOn w:val="DefaultParagraphFont"/>
    <w:link w:val="BalloonText"/>
    <w:uiPriority w:val="99"/>
    <w:semiHidden/>
    <w:rsid w:val="00EF512E"/>
    <w:rPr>
      <w:rFonts w:ascii="Segoe UI" w:hAnsi="Segoe UI" w:cs="Segoe UI"/>
      <w:sz w:val="18"/>
      <w:szCs w:val="18"/>
    </w:rPr>
  </w:style>
  <w:style w:type="character" w:styleId="CommentReference">
    <w:name w:val="annotation reference"/>
    <w:basedOn w:val="DefaultParagraphFont"/>
    <w:uiPriority w:val="99"/>
    <w:semiHidden/>
    <w:unhideWhenUsed/>
    <w:rsid w:val="008E22FD"/>
    <w:rPr>
      <w:sz w:val="16"/>
      <w:szCs w:val="16"/>
    </w:rPr>
  </w:style>
  <w:style w:type="paragraph" w:styleId="CommentText">
    <w:name w:val="annotation text"/>
    <w:basedOn w:val="Normal"/>
    <w:link w:val="CommentTextChar"/>
    <w:uiPriority w:val="99"/>
    <w:semiHidden/>
    <w:unhideWhenUsed/>
    <w:rsid w:val="008E22FD"/>
    <w:pPr>
      <w:spacing w:line="240" w:lineRule="auto"/>
    </w:pPr>
    <w:rPr>
      <w:sz w:val="20"/>
      <w:szCs w:val="20"/>
    </w:rPr>
  </w:style>
  <w:style w:type="character" w:customStyle="1" w:styleId="CommentTextChar">
    <w:name w:val="Comment Text Char"/>
    <w:basedOn w:val="DefaultParagraphFont"/>
    <w:link w:val="CommentText"/>
    <w:uiPriority w:val="99"/>
    <w:semiHidden/>
    <w:rsid w:val="008E22FD"/>
    <w:rPr>
      <w:sz w:val="20"/>
      <w:szCs w:val="20"/>
    </w:rPr>
  </w:style>
  <w:style w:type="paragraph" w:styleId="CommentSubject">
    <w:name w:val="annotation subject"/>
    <w:basedOn w:val="CommentText"/>
    <w:next w:val="CommentText"/>
    <w:link w:val="CommentSubjectChar"/>
    <w:uiPriority w:val="99"/>
    <w:semiHidden/>
    <w:unhideWhenUsed/>
    <w:rsid w:val="008E22FD"/>
    <w:rPr>
      <w:b/>
      <w:bCs/>
    </w:rPr>
  </w:style>
  <w:style w:type="character" w:customStyle="1" w:styleId="CommentSubjectChar">
    <w:name w:val="Comment Subject Char"/>
    <w:basedOn w:val="CommentTextChar"/>
    <w:link w:val="CommentSubject"/>
    <w:uiPriority w:val="99"/>
    <w:semiHidden/>
    <w:rsid w:val="008E22FD"/>
    <w:rPr>
      <w:b/>
      <w:bCs/>
      <w:sz w:val="20"/>
      <w:szCs w:val="20"/>
    </w:rPr>
  </w:style>
  <w:style w:type="paragraph" w:styleId="Header">
    <w:name w:val="header"/>
    <w:basedOn w:val="Normal"/>
    <w:link w:val="HeaderChar"/>
    <w:uiPriority w:val="99"/>
    <w:unhideWhenUsed/>
    <w:rsid w:val="00402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1E3"/>
  </w:style>
  <w:style w:type="paragraph" w:styleId="Footer">
    <w:name w:val="footer"/>
    <w:basedOn w:val="Normal"/>
    <w:link w:val="FooterChar"/>
    <w:uiPriority w:val="99"/>
    <w:unhideWhenUsed/>
    <w:rsid w:val="00402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1E3"/>
  </w:style>
  <w:style w:type="character" w:customStyle="1" w:styleId="apple-converted-space">
    <w:name w:val="apple-converted-space"/>
    <w:basedOn w:val="DefaultParagraphFont"/>
    <w:rsid w:val="00CB79F2"/>
  </w:style>
  <w:style w:type="character" w:styleId="Hyperlink">
    <w:name w:val="Hyperlink"/>
    <w:basedOn w:val="DefaultParagraphFont"/>
    <w:uiPriority w:val="99"/>
    <w:unhideWhenUsed/>
    <w:rsid w:val="00923D66"/>
    <w:rPr>
      <w:color w:val="0563C1" w:themeColor="hyperlink"/>
      <w:u w:val="single"/>
    </w:rPr>
  </w:style>
  <w:style w:type="character" w:styleId="FollowedHyperlink">
    <w:name w:val="FollowedHyperlink"/>
    <w:basedOn w:val="DefaultParagraphFont"/>
    <w:uiPriority w:val="99"/>
    <w:semiHidden/>
    <w:unhideWhenUsed/>
    <w:rsid w:val="00923D66"/>
    <w:rPr>
      <w:color w:val="954F72" w:themeColor="followedHyperlink"/>
      <w:u w:val="single"/>
    </w:rPr>
  </w:style>
  <w:style w:type="paragraph" w:styleId="NormalWeb">
    <w:name w:val="Normal (Web)"/>
    <w:basedOn w:val="Normal"/>
    <w:uiPriority w:val="99"/>
    <w:semiHidden/>
    <w:unhideWhenUsed/>
    <w:rsid w:val="00B94A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71341">
      <w:bodyDiv w:val="1"/>
      <w:marLeft w:val="0"/>
      <w:marRight w:val="0"/>
      <w:marTop w:val="0"/>
      <w:marBottom w:val="0"/>
      <w:divBdr>
        <w:top w:val="none" w:sz="0" w:space="0" w:color="auto"/>
        <w:left w:val="none" w:sz="0" w:space="0" w:color="auto"/>
        <w:bottom w:val="none" w:sz="0" w:space="0" w:color="auto"/>
        <w:right w:val="none" w:sz="0" w:space="0" w:color="auto"/>
      </w:divBdr>
      <w:divsChild>
        <w:div w:id="621108080">
          <w:marLeft w:val="0"/>
          <w:marRight w:val="0"/>
          <w:marTop w:val="0"/>
          <w:marBottom w:val="0"/>
          <w:divBdr>
            <w:top w:val="none" w:sz="0" w:space="0" w:color="auto"/>
            <w:left w:val="none" w:sz="0" w:space="0" w:color="auto"/>
            <w:bottom w:val="none" w:sz="0" w:space="0" w:color="auto"/>
            <w:right w:val="none" w:sz="0" w:space="0" w:color="auto"/>
          </w:divBdr>
        </w:div>
      </w:divsChild>
    </w:div>
    <w:div w:id="344215751">
      <w:bodyDiv w:val="1"/>
      <w:marLeft w:val="0"/>
      <w:marRight w:val="0"/>
      <w:marTop w:val="0"/>
      <w:marBottom w:val="0"/>
      <w:divBdr>
        <w:top w:val="none" w:sz="0" w:space="0" w:color="auto"/>
        <w:left w:val="none" w:sz="0" w:space="0" w:color="auto"/>
        <w:bottom w:val="none" w:sz="0" w:space="0" w:color="auto"/>
        <w:right w:val="none" w:sz="0" w:space="0" w:color="auto"/>
      </w:divBdr>
    </w:div>
    <w:div w:id="439572506">
      <w:bodyDiv w:val="1"/>
      <w:marLeft w:val="0"/>
      <w:marRight w:val="0"/>
      <w:marTop w:val="0"/>
      <w:marBottom w:val="0"/>
      <w:divBdr>
        <w:top w:val="none" w:sz="0" w:space="0" w:color="auto"/>
        <w:left w:val="none" w:sz="0" w:space="0" w:color="auto"/>
        <w:bottom w:val="none" w:sz="0" w:space="0" w:color="auto"/>
        <w:right w:val="none" w:sz="0" w:space="0" w:color="auto"/>
      </w:divBdr>
    </w:div>
    <w:div w:id="1631856512">
      <w:bodyDiv w:val="1"/>
      <w:marLeft w:val="0"/>
      <w:marRight w:val="0"/>
      <w:marTop w:val="0"/>
      <w:marBottom w:val="0"/>
      <w:divBdr>
        <w:top w:val="none" w:sz="0" w:space="0" w:color="auto"/>
        <w:left w:val="none" w:sz="0" w:space="0" w:color="auto"/>
        <w:bottom w:val="none" w:sz="0" w:space="0" w:color="auto"/>
        <w:right w:val="none" w:sz="0" w:space="0" w:color="auto"/>
      </w:divBdr>
    </w:div>
    <w:div w:id="173257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hs.ca.gov/pages/pritab.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CHImgr@communitypartn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877CC-F764-4C2B-AF2B-0DA182685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dc:creator>
  <cp:lastModifiedBy>Teaa Bradley</cp:lastModifiedBy>
  <cp:revision>11</cp:revision>
  <cp:lastPrinted>2016-07-07T16:55:00Z</cp:lastPrinted>
  <dcterms:created xsi:type="dcterms:W3CDTF">2017-02-03T14:21:00Z</dcterms:created>
  <dcterms:modified xsi:type="dcterms:W3CDTF">2017-02-03T18:13:00Z</dcterms:modified>
</cp:coreProperties>
</file>